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1773AC7C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363E73">
        <w:rPr>
          <w:rFonts w:cstheme="minorHAnsi"/>
          <w:b/>
          <w:color w:val="000000" w:themeColor="text1"/>
          <w:sz w:val="20"/>
          <w:szCs w:val="20"/>
        </w:rPr>
        <w:t>2</w:t>
      </w:r>
      <w:r w:rsidR="008722D5">
        <w:rPr>
          <w:rFonts w:cstheme="minorHAnsi"/>
          <w:b/>
          <w:color w:val="000000" w:themeColor="text1"/>
          <w:sz w:val="20"/>
          <w:szCs w:val="20"/>
        </w:rPr>
        <w:t>8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363E73">
        <w:rPr>
          <w:rFonts w:cstheme="minorHAnsi"/>
          <w:b/>
          <w:color w:val="000000" w:themeColor="text1"/>
          <w:sz w:val="20"/>
          <w:szCs w:val="20"/>
        </w:rPr>
        <w:t xml:space="preserve">Prešov – </w:t>
      </w:r>
      <w:r w:rsidR="008722D5">
        <w:rPr>
          <w:rFonts w:cstheme="minorHAnsi"/>
          <w:b/>
          <w:color w:val="000000" w:themeColor="text1"/>
          <w:sz w:val="20"/>
          <w:szCs w:val="20"/>
        </w:rPr>
        <w:t>Haniska pri Prešove – rozšírenie vodovodu a kanalizácie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9DB8" w14:textId="77777777" w:rsidR="00F207A2" w:rsidRDefault="00F207A2" w:rsidP="00E57288">
      <w:pPr>
        <w:spacing w:after="0" w:line="240" w:lineRule="auto"/>
      </w:pPr>
      <w:r>
        <w:separator/>
      </w:r>
    </w:p>
  </w:endnote>
  <w:endnote w:type="continuationSeparator" w:id="0">
    <w:p w14:paraId="20D3150B" w14:textId="77777777" w:rsidR="00F207A2" w:rsidRDefault="00F207A2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F703" w14:textId="77777777" w:rsidR="00F207A2" w:rsidRDefault="00F207A2" w:rsidP="00E57288">
      <w:pPr>
        <w:spacing w:after="0" w:line="240" w:lineRule="auto"/>
      </w:pPr>
      <w:r>
        <w:separator/>
      </w:r>
    </w:p>
  </w:footnote>
  <w:footnote w:type="continuationSeparator" w:id="0">
    <w:p w14:paraId="5B342946" w14:textId="77777777" w:rsidR="00F207A2" w:rsidRDefault="00F207A2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2F1CFC76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363E73">
      <w:rPr>
        <w:rFonts w:ascii="Arial" w:eastAsia="Arial" w:hAnsi="Arial" w:cs="Arial"/>
        <w:sz w:val="20"/>
        <w:lang w:val="sk" w:eastAsia="sk"/>
      </w:rPr>
      <w:t>2</w:t>
    </w:r>
    <w:r w:rsidR="008722D5">
      <w:rPr>
        <w:rFonts w:ascii="Arial" w:eastAsia="Arial" w:hAnsi="Arial" w:cs="Arial"/>
        <w:sz w:val="20"/>
        <w:lang w:val="sk" w:eastAsia="sk"/>
      </w:rPr>
      <w:t>8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363E73">
      <w:rPr>
        <w:rFonts w:ascii="Arial" w:eastAsia="Arial" w:hAnsi="Arial" w:cs="Arial"/>
        <w:sz w:val="20"/>
        <w:lang w:val="sk" w:eastAsia="sk"/>
      </w:rPr>
      <w:t xml:space="preserve">Prešov – </w:t>
    </w:r>
    <w:r w:rsidR="008722D5">
      <w:rPr>
        <w:rFonts w:ascii="Arial" w:eastAsia="Arial" w:hAnsi="Arial" w:cs="Arial"/>
        <w:sz w:val="20"/>
        <w:lang w:val="sk" w:eastAsia="sk"/>
      </w:rPr>
      <w:t>Haniska pri Prešove – rozšírenie vodovodu a kanalizácie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230AA1"/>
    <w:rsid w:val="00317621"/>
    <w:rsid w:val="00363E73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475E5"/>
    <w:rsid w:val="00584A15"/>
    <w:rsid w:val="005B52DA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53087"/>
    <w:rsid w:val="007C7E0B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B6168"/>
    <w:rsid w:val="009F021C"/>
    <w:rsid w:val="00A91C97"/>
    <w:rsid w:val="00AA5AF5"/>
    <w:rsid w:val="00B150F7"/>
    <w:rsid w:val="00B161D1"/>
    <w:rsid w:val="00B76990"/>
    <w:rsid w:val="00B82A47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77C77"/>
    <w:rsid w:val="00DA444F"/>
    <w:rsid w:val="00DA758B"/>
    <w:rsid w:val="00E10783"/>
    <w:rsid w:val="00E17128"/>
    <w:rsid w:val="00E35825"/>
    <w:rsid w:val="00E57288"/>
    <w:rsid w:val="00EC566E"/>
    <w:rsid w:val="00F207A2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16</cp:revision>
  <dcterms:created xsi:type="dcterms:W3CDTF">2025-09-10T06:59:00Z</dcterms:created>
  <dcterms:modified xsi:type="dcterms:W3CDTF">2026-03-09T15:16:00Z</dcterms:modified>
</cp:coreProperties>
</file>