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center" w:leader="none" w:pos="7938"/>
        </w:tabs>
        <w:spacing w:after="0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  <w:t xml:space="preserve">CENOVÁ PONUKA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r>
    </w:p>
    <w:p>
      <w:pPr>
        <w:pBdr/>
        <w:tabs>
          <w:tab w:val="left" w:leader="none" w:pos="7938"/>
        </w:tabs>
        <w:spacing w:after="0"/>
        <w:ind w:hanging="2127" w:left="212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</w:p>
    <w:p>
      <w:pPr>
        <w:pBdr/>
        <w:tabs>
          <w:tab w:val="left" w:leader="none" w:pos="2127"/>
        </w:tabs>
        <w:spacing w:after="0"/>
        <w:ind w:hanging="2127" w:left="212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Predmet zákazky: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„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  <w:t xml:space="preserve">Obstaranie technológií do výroby a odbytu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“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</w:p>
    <w:p>
      <w:pPr>
        <w:pBdr/>
        <w:tabs>
          <w:tab w:val="left" w:leader="none" w:pos="4962"/>
        </w:tabs>
        <w:spacing w:after="0" w:line="240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uchádzača: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Obchodné meno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right="-19"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meno predkladajúceho - funkcia, telefónne číslo, 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zadávateľa: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Obchodné meno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HPSW, s.r.o.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065 11 Kolačkov 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right="-19"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53728068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Matúš Dziak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konateľ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+421910910333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matus.dziak@gmail.com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 w14:paraId="4CD73E60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</w:tcPr>
          <w:p w14:paraId="3C4C8A99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Časť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Výrobné zariadenia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3C562A59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517139A2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Elektrická smažiaca panvica - 3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0BCDC26D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5A14B37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53009B05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1A99A427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7CC19F6A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2007" w:type="pct"/>
            <w:vAlign w:val="center"/>
          </w:tcPr>
          <w:p w14:paraId="2999C6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03" w:type="pct"/>
            <w:vAlign w:val="center"/>
          </w:tcPr>
          <w:p w14:paraId="192989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28" w:type="pct"/>
            <w:vAlign w:val="center"/>
          </w:tcPr>
          <w:p w14:paraId="060EB5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962" w:type="pct"/>
            <w:vAlign w:val="center"/>
          </w:tcPr>
          <w:p w14:paraId="71E6D51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4BADD32E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Elektrická  smažiaca panvica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výklopná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98F16FB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B1A9F2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Align w:val="center"/>
            <w:vMerge w:val="restart"/>
          </w:tcPr>
          <w:p w14:paraId="39DA1C8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16E304B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Objem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2D21AF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110 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386CD5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6658CA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223AA1D3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Rozmery (š x h x v) v hodnote z rozmedzia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353BDB2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1150 x 850 x 850 – max. 1250 x 950 x 950 mm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77849A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AA46CD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3698A6B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Hmotnosť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DFEB12E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500 kg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30A6B3F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5DBC11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408FC76A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Teplotný rozsah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56DD47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50 – 250 °C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2DB815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75E8121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5DAC224B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Nepriľnavý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povrch varnej nádoby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106093DE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78E7D1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C0366A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2F80780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Prevedenie z nerezovej ocele so zaoblenými hranami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9677C5E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65830BF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EE9B4E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151E38F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Robustné kovové ovládače s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ochranou IP65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75D8A8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52DBDE6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FB7FC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334C71A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Samonosná masívna konštrukcia s dvojitou izoláciou káblov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75BA2EA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5CBA26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6498EC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0C3B0BC1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Napúšťanie vody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1E4276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4014E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D15623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4843A29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Batéria s automatickým tlačidlom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340C43B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4E281F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40FE16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DF3856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Batéria na studenú vodu s automatickým tlačidlom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E6BD69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EAFEFA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C0B7A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393F1CBB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Poklop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4F3BEF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287AA7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297EB1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EB6BE7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Otočné koleso na vyklápanie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71AB24B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31D7461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252038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DD9B2E3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Nastaviteľné nožičky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C94590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A184D5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9E73EE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2DA637D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Hranatý parák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na naparovanie knedlí, buchiet, zeleniny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7036BAA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9 ks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4370A20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D24467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4C89A6E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Nerez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ové prevedenie paráku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738D9AB6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BF949A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C6258B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8" w:type="pct"/>
            <w:vAlign w:val="center"/>
          </w:tcPr>
          <w:p w14:paraId="78F9A01E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za 3 ks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pct"/>
            <w:vAlign w:val="center"/>
          </w:tcPr>
          <w:p w14:paraId="6E632ED0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355049B5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ayout w:type="fixed"/>
        <w:tblLook w:val="04A0" w:firstRow="1" w:lastRow="0" w:firstColumn="1" w:lastColumn="0" w:noHBand="0" w:noVBand="1"/>
      </w:tblPr>
      <w:tblGrid>
        <w:gridCol w:w="3989"/>
        <w:gridCol w:w="200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 w14:paraId="313E8E37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Univerzálny šľahací a hnetací stroj - 1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 w14:paraId="57B30FFA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73D2AF6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7AC03E34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66A76156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B461F4E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3989" w:type="dxa"/>
            <w:vAlign w:val="center"/>
          </w:tcPr>
          <w:p w14:paraId="58548D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008" w:type="dxa"/>
            <w:vAlign w:val="center"/>
          </w:tcPr>
          <w:p w14:paraId="50D2DC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048" w:type="dxa"/>
            <w:vAlign w:val="center"/>
          </w:tcPr>
          <w:p w14:paraId="456139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917" w:type="dxa"/>
            <w:vAlign w:val="center"/>
          </w:tcPr>
          <w:p w14:paraId="32250C8D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063F2E5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Objem kotlíka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7B3F7F3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55 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5D96EBF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Align w:val="center"/>
            <w:vMerge w:val="restart"/>
          </w:tcPr>
          <w:p w14:paraId="67E6256B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06864AF3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Max. kapacita spracovania - cesto vianočkové (múka)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06700E5B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15 kg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5D6710D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6136856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</w:tcPr>
          <w:p w14:paraId="2C1EEE0B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Max. kapacita spracovania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- bielkový krém / sneh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2B8D315F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2 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6FE7B89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0E51B1C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</w:tcPr>
          <w:p w14:paraId="2505F90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Max. kapacita spracovania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- šľahačka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32F298D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10 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38434A9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33F7E03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191FEAB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Max. kapacita spracovania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- zemiaková kaša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7438CDAE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18 kg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014186C5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4C882074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Merge w:val="restart"/>
          </w:tcPr>
          <w:p w14:paraId="0A80D432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Hmotnosť stroja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777DAF2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300 kg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1E0F364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7701011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Merge w:val="restart"/>
          </w:tcPr>
          <w:p w14:paraId="597BF1AF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Brutto objem stroja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74010FA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max. 1,1 m3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412C047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28B20B9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2EEA707B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Príkon elektromotora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60B3426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2,5 kW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349D63C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5D38D49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673A409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Počet prevodových stupňov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1FFD240B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337ACF0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6518B83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06770A8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Motorický zdvih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(zdvih za chodu)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5CDD7AFA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19B4DB3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7881FF9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053A258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Mechanický spínač ochranného krytu kotlíka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18168D0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0E4D869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780C5BF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30920E43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Kotlík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14D6B9A8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 ks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44F01C7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3E528A3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27FCA95A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Hák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510BB8D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 ks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75DD6BD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6ECFBE9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29BF0925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Miešač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583E4966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 ks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70A300F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340BB15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627C47DA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Šľahacia metla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0F2A36AE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 ks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5151C38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6317CFF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  <w:vMerge w:val="restart"/>
          </w:tcPr>
          <w:p w14:paraId="0EC99765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Vozík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583F5BB1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 ks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0783DA3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1FE8DF5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</w:tcPr>
          <w:p w14:paraId="6EA071A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Podstavec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6B5EAD4B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 ks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2247279B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246113A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</w:tcPr>
          <w:p w14:paraId="3A2F857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30 l príslušenstvo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1C3E69CB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3C4598B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663F968B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</w:tcPr>
          <w:p w14:paraId="745E7FF1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Mlynček na mäso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1614C0F5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40E9C73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1FB242D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</w:tcPr>
          <w:p w14:paraId="2A93A97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Strúhačka a rezačka zeleniny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4D9765A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7DDC3E6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54DADAB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Align w:val="center"/>
          </w:tcPr>
          <w:p w14:paraId="455745ED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</w:tcPr>
          <w:p w14:paraId="44EB14D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5516306F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ayout w:type="fixed"/>
        <w:tblLook w:val="04A0" w:firstRow="1" w:lastRow="0" w:firstColumn="1" w:lastColumn="0" w:noHBand="0" w:noVBand="1"/>
      </w:tblPr>
      <w:tblGrid>
        <w:gridCol w:w="3989"/>
        <w:gridCol w:w="200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 w14:paraId="313E8E37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Plnička pekárenských výrobkov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 w14:paraId="57B30FFA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73D2AF6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7AC03E34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66A76156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B461F4E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3989" w:type="dxa"/>
            <w:vAlign w:val="center"/>
          </w:tcPr>
          <w:p w14:paraId="58548D83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008" w:type="dxa"/>
            <w:vAlign w:val="center"/>
          </w:tcPr>
          <w:p w14:paraId="50D2DC08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048" w:type="dxa"/>
            <w:vAlign w:val="center"/>
          </w:tcPr>
          <w:p w14:paraId="456139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917" w:type="dxa"/>
            <w:vAlign w:val="center"/>
          </w:tcPr>
          <w:p w14:paraId="32250C8D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37E5E03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Automatická plnička na plnenie pekárenských výrobkov ( šišiek, veterníkov, zákuskov)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068CE981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5D96EBF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Align w:val="center"/>
            <w:vMerge w:val="restart"/>
          </w:tcPr>
          <w:p w14:paraId="67E6256B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10E2A302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Objem násypky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56630C7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6 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5D6710D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6136856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</w:tcPr>
          <w:p w14:paraId="336877E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Automatické spustenie dávkovania pri priblížení výrobku k senzoru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2259B90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6FE7B89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0E51B1C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Align w:val="bottom"/>
          </w:tcPr>
          <w:p w14:paraId="009A581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Nastavovanie veľkosti dávky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512CDF1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38434A9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33F7E03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</w:tcPr>
          <w:p w14:paraId="0320800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Ihly v tvare „I“ a „U“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</w:tcPr>
          <w:p w14:paraId="32058A3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</w:tcPr>
          <w:p w14:paraId="014186C5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4C882074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9" w:type="dxa"/>
            <w:vMerge w:val="restart"/>
          </w:tcPr>
          <w:p w14:paraId="7E1AE78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Príkon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bottom"/>
            <w:vMerge w:val="restart"/>
          </w:tcPr>
          <w:p w14:paraId="55106B4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70 W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center"/>
            <w:vMerge w:val="restart"/>
          </w:tcPr>
          <w:p w14:paraId="1E0F364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Merge w:val="continue"/>
          </w:tcPr>
          <w:p w14:paraId="7701011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Align w:val="center"/>
          </w:tcPr>
          <w:p w14:paraId="455745ED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</w:tcPr>
          <w:p w14:paraId="44EB14D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242F7A71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</w:tcPr>
          <w:p w14:paraId="52F41ED9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Časť 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Baliaci stroj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ayout w:type="fixed"/>
        <w:tblLook w:val="04A0" w:firstRow="1" w:lastRow="0" w:firstColumn="1" w:lastColumn="0" w:noHBand="0" w:noVBand="1"/>
      </w:tblPr>
      <w:tblGrid>
        <w:gridCol w:w="3999"/>
        <w:gridCol w:w="1998"/>
        <w:gridCol w:w="2243"/>
        <w:gridCol w:w="1721"/>
      </w:tblGrid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Baliaci stroj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3999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998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243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721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2998931B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Automatický baliaci stroj na balenie produktov do vrecka so zmršťovaním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0411EDE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Align w:val="center"/>
            <w:vMerge w:val="restart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36440AAA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Elektronický riadiaci systém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času zvárania a teploty zmršťovania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5CC568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Align w:val="bottom"/>
          </w:tcPr>
          <w:p w14:paraId="331A29F4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Elektromagnet drží veko počas zmršťovania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7A33D21E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Align w:val="bottom"/>
          </w:tcPr>
          <w:p w14:paraId="42D0E8DF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Programovacia doska s možnosťou uloženia pracovných programov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527B69C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5564677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Počet uložiteľných pracovných programov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5BDC80B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min. 10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345BBFB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Nastavovanie času zvárania, teploty v zmrš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ť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ovacej komore, času zmrštovania, intenzity ventilátora (funkcia mäkkého zmršťovania) podľa typu produktu a použitej f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ólie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3BC3438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0318F72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Vakovanie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406F5B5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6330BE01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Počítadlo cyklov v každom programe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3261D67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1B1A75E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Max. výška produktu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49A4B0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min. 150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3E571C2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Max. rozmer zváracej plochy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2391D8B1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min. 400 x 260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41B1772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Pracovná výška stroja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5CD2F6B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min. 900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164A409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Automatický baliaci stroj na balenie produktov do vrecka so zmršťovaním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ACF43D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71C37D0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Elektronický riadiaci systém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času zvárania a teploty zmršťovania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4632EE7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Align w:val="bottom"/>
          </w:tcPr>
          <w:p w14:paraId="5A9D29F2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Elektromagnet drží veko počas zmršťovania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23E47326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Align w:val="bottom"/>
          </w:tcPr>
          <w:p w14:paraId="595F466C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Programovacia doska s možnosťou uloženia pracovných programov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62A6667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1" w:type="dxa"/>
            <w:vAlign w:val="center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1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2ABB0FA2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 w14:paraId="7F39B4F5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</w:tcPr>
          <w:p w14:paraId="14AF25BB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Časť 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Automat na predaj pečiva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1167A1F0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 w14:paraId="332DDBE2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3161D5F9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Automat na predaj pečiva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160E6FFD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1EF040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6F61B22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6777BBC0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D273DD9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2007" w:type="pct"/>
            <w:vAlign w:val="center"/>
          </w:tcPr>
          <w:p w14:paraId="7FC728B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03" w:type="pct"/>
            <w:vAlign w:val="center"/>
          </w:tcPr>
          <w:p w14:paraId="31CC8F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28" w:type="pct"/>
            <w:vAlign w:val="center"/>
          </w:tcPr>
          <w:p w14:paraId="675257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962" w:type="pct"/>
            <w:vAlign w:val="center"/>
          </w:tcPr>
          <w:p w14:paraId="1A4E1004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6CF0386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Vonkajší výťahový predajný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automat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0DC1227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5238747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Align w:val="center"/>
            <w:vMerge w:val="restart"/>
          </w:tcPr>
          <w:p w14:paraId="3488A08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7BE30E95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Vnútorné variabilné usporiadanie prispôsobiteľné sortimentu (balené knedle, parené buchty balené,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chlieb, rožky, žemle, koláče, šišky, vianočky a pod.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D93147B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994EDD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F13629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677F78A8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Vyhrievanie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(udržiavanie teploty pečiva)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E496284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3F6BB9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ED66F3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E3B0A7B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Chladenie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7997E190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9EC5D0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09C3F58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017EFEB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Platobné systémy hotovosť aj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bezhotovostné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A78340E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39A9BD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AADE5A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01EA2598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Dotyková o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brazovka full HD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560BD9F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20"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ECAB18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604B3F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B301201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Výdajný otvor (š x v)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2DABA00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400 x 160 mm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AE49A1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64140C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9A0A0AA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Strieška a reklamný polep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3156756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03649B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D14844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15B9C08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Rozmery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(v x š x h)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9940F4B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2000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x 1250 x 900 mm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9F5DEE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24DD7C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8" w:type="pct"/>
            <w:vAlign w:val="center"/>
          </w:tcPr>
          <w:p w14:paraId="22D4DE4E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pct"/>
            <w:vAlign w:val="center"/>
          </w:tcPr>
          <w:p w14:paraId="12821987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1F683BBB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>
      <w:pPr>
        <w:pBdr/>
        <w:tabs>
          <w:tab w:val="left" w:leader="none" w:pos="4962"/>
        </w:tabs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Poznámky</w:t>
      </w:r>
      <w:r>
        <w:rPr>
          <w:rFonts w:ascii="Times New Roman" w:hAnsi="Times New Roman" w:cs="Times New Roman"/>
          <w:bCs/>
          <w:sz w:val="24"/>
          <w:szCs w:val="24"/>
        </w:rPr>
        <w:t xml:space="preserve">*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………………….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prípade</w:t>
      </w:r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uchádzač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nie</w:t>
      </w:r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r>
        <w:rPr>
          <w:rFonts w:ascii="Times New Roman" w:hAnsi="Times New Roman" w:cs="Times New Roman"/>
          <w:bCs/>
          <w:sz w:val="24"/>
          <w:szCs w:val="24"/>
        </w:rPr>
        <w:t xml:space="preserve">platca</w:t>
      </w:r>
      <w:r>
        <w:rPr>
          <w:rFonts w:ascii="Times New Roman" w:hAnsi="Times New Roman" w:cs="Times New Roman"/>
          <w:bCs/>
          <w:sz w:val="24"/>
          <w:szCs w:val="24"/>
        </w:rPr>
        <w:t xml:space="preserve"> DPH </w:t>
      </w:r>
      <w:r>
        <w:rPr>
          <w:rFonts w:ascii="Times New Roman" w:hAnsi="Times New Roman" w:cs="Times New Roman"/>
          <w:bCs/>
          <w:sz w:val="24"/>
          <w:szCs w:val="24"/>
        </w:rPr>
        <w:t xml:space="preserve">uvedie</w:t>
      </w:r>
      <w:r>
        <w:rPr>
          <w:rFonts w:ascii="Times New Roman" w:hAnsi="Times New Roman" w:cs="Times New Roman"/>
          <w:bCs/>
          <w:sz w:val="24"/>
          <w:szCs w:val="24"/>
        </w:rPr>
        <w:t xml:space="preserve"> to v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ponuke</w:t>
      </w:r>
      <w:r>
        <w:rPr>
          <w:rFonts w:ascii="Times New Roman" w:hAnsi="Times New Roman" w:cs="Times New Roman"/>
          <w:bCs/>
          <w:sz w:val="24"/>
          <w:szCs w:val="24"/>
        </w:rPr>
        <w:t xml:space="preserve"> v časti poznámky.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Čestne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prehlasujeme</w:t>
      </w:r>
      <w:r>
        <w:rPr>
          <w:rFonts w:ascii="Times New Roman" w:hAnsi="Times New Roman" w:cs="Times New Roman"/>
          <w:bCs/>
          <w:sz w:val="24"/>
          <w:szCs w:val="24"/>
        </w:rPr>
        <w:t xml:space="preserve">, že akceptujeme </w:t>
      </w:r>
      <w:r>
        <w:rPr>
          <w:rFonts w:ascii="Times New Roman" w:hAnsi="Times New Roman" w:cs="Times New Roman"/>
          <w:bCs/>
          <w:sz w:val="24"/>
          <w:szCs w:val="24"/>
        </w:rPr>
        <w:t xml:space="preserve">všetky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požiadavky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zadávateľa</w:t>
      </w:r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r>
        <w:rPr>
          <w:rFonts w:ascii="Times New Roman" w:hAnsi="Times New Roman" w:cs="Times New Roman"/>
          <w:bCs/>
          <w:sz w:val="24"/>
          <w:szCs w:val="24"/>
        </w:rPr>
        <w:t xml:space="preserve">tieto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požiadavky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sme</w:t>
      </w:r>
      <w:r>
        <w:rPr>
          <w:rFonts w:ascii="Times New Roman" w:hAnsi="Times New Roman" w:cs="Times New Roman"/>
          <w:bCs/>
          <w:sz w:val="24"/>
          <w:szCs w:val="24"/>
        </w:rPr>
        <w:t xml:space="preserve"> zahrnuli do </w:t>
      </w:r>
      <w:r>
        <w:rPr>
          <w:rFonts w:ascii="Times New Roman" w:hAnsi="Times New Roman" w:cs="Times New Roman"/>
          <w:bCs/>
          <w:sz w:val="24"/>
          <w:szCs w:val="24"/>
        </w:rPr>
        <w:t xml:space="preserve">predloženej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cenovej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ponuky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Potvrdzujeme</w:t>
      </w:r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nami</w:t>
      </w:r>
      <w:r>
        <w:rPr>
          <w:rFonts w:ascii="Times New Roman" w:hAnsi="Times New Roman" w:cs="Times New Roman"/>
          <w:bCs/>
          <w:sz w:val="24"/>
          <w:szCs w:val="24"/>
        </w:rPr>
        <w:t xml:space="preserve"> vypracovaná cenová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zodpovedá</w:t>
      </w:r>
      <w:r>
        <w:rPr>
          <w:rFonts w:ascii="Times New Roman" w:hAnsi="Times New Roman" w:cs="Times New Roman"/>
          <w:bCs/>
          <w:sz w:val="24"/>
          <w:szCs w:val="24"/>
        </w:rPr>
        <w:t xml:space="preserve"> cenám obvyklým v </w:t>
      </w:r>
      <w:r>
        <w:rPr>
          <w:rFonts w:ascii="Times New Roman" w:hAnsi="Times New Roman" w:cs="Times New Roman"/>
          <w:bCs/>
          <w:sz w:val="24"/>
          <w:szCs w:val="24"/>
        </w:rPr>
        <w:t xml:space="preserve">danom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mieste</w:t>
      </w:r>
      <w:r>
        <w:rPr>
          <w:rFonts w:ascii="Times New Roman" w:hAnsi="Times New Roman" w:cs="Times New Roman"/>
          <w:bCs/>
          <w:sz w:val="24"/>
          <w:szCs w:val="24"/>
        </w:rPr>
        <w:t xml:space="preserve"> a čase.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 w14:paraId="00F46F9E">
      <w:pPr>
        <w:pBdr/>
        <w:spacing w:after="0"/>
        <w:ind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 ...................................., </w:t>
      </w:r>
      <w:r>
        <w:rPr>
          <w:rFonts w:ascii="Times New Roman" w:hAnsi="Times New Roman" w:cs="Times New Roman"/>
          <w:bCs/>
          <w:sz w:val="24"/>
          <w:szCs w:val="24"/>
        </w:rPr>
        <w:t xml:space="preserve">dňa</w:t>
      </w:r>
      <w:r>
        <w:rPr>
          <w:rFonts w:ascii="Times New Roman" w:hAnsi="Times New Roman" w:cs="Times New Roman"/>
          <w:bCs/>
          <w:sz w:val="24"/>
          <w:szCs w:val="24"/>
        </w:rPr>
        <w:t xml:space="preserve"> .....................</w:t>
        <w:tab/>
        <w:tab/>
        <w:tab/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6378"/>
        </w:tabs>
        <w:spacing w:after="0"/>
        <w:ind w:right="0" w:firstLine="0"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ab/>
        <w:t xml:space="preserve">Podpis a pečiatka uchádzača</w:t>
      </w:r>
      <w:r>
        <w:rPr>
          <w:rFonts w:ascii="Times New Roman" w:hAnsi="Times New Roman" w:cs="Times New Roman"/>
          <w:sz w:val="24"/>
          <w:szCs w:val="24"/>
          <w:lang w:val="sk-SK"/>
        </w:rPr>
      </w:r>
      <w:r>
        <w:rPr>
          <w:rFonts w:ascii="Times New Roman" w:hAnsi="Times New Roman" w:cs="Times New Roman"/>
          <w:sz w:val="24"/>
          <w:szCs w:val="24"/>
          <w:lang w:val="sk-SK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40" w:right="1080" w:bottom="1440" w:left="108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13967106"/>
      <w:docPartObj>
        <w:docPartGallery w:val="Page Numbers (Bottom of Page)"/>
        <w:docPartUnique w:val="true"/>
      </w:docPartObj>
      <w:rPr/>
    </w:sdtPr>
    <w:sdtContent>
      <w:p>
        <w:pPr>
          <w:pStyle w:val="969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sk-SK"/>
          </w:rPr>
          <w:t xml:space="preserve">1</w:t>
        </w:r>
        <w:r>
          <w:fldChar w:fldCharType="end"/>
        </w:r>
        <w:r/>
      </w:p>
    </w:sdtContent>
  </w:sdt>
  <w:p>
    <w:pPr>
      <w:pStyle w:val="9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right"/>
      <w:rPr>
        <w:rFonts w:ascii="Times New Roman" w:hAnsi="Times New Roman" w:cs="Times New Roman"/>
        <w:lang w:val="sk-SK"/>
      </w:rPr>
    </w:pPr>
    <w:r>
      <w:rPr>
        <w:rFonts w:ascii="Times New Roman" w:hAnsi="Times New Roman" w:cs="Times New Roman"/>
      </w:rPr>
      <w:t xml:space="preserve">Príloha</w:t>
    </w:r>
    <w:r>
      <w:rPr>
        <w:rFonts w:ascii="Times New Roman" w:hAnsi="Times New Roman" w:cs="Times New Roman"/>
      </w:rPr>
      <w:t xml:space="preserve"> č. </w:t>
    </w:r>
    <w:r>
      <w:rPr>
        <w:rFonts w:ascii="Times New Roman" w:hAnsi="Times New Roman" w:cs="Times New Roman"/>
        <w:lang w:val="sk-SK"/>
      </w:rPr>
      <w:t xml:space="preserve">1 </w:t>
    </w:r>
    <w:r>
      <w:rPr>
        <w:rFonts w:ascii="Times New Roman" w:hAnsi="Times New Roman" w:cs="Times New Roman"/>
      </w:rPr>
      <w:t xml:space="preserve"> Výzvy na </w:t>
    </w:r>
    <w:r>
      <w:rPr>
        <w:rFonts w:ascii="Times New Roman" w:hAnsi="Times New Roman" w:cs="Times New Roman"/>
      </w:rPr>
      <w:t xml:space="preserve">predloženie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ponúk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lang w:val="sk-SK"/>
      </w:rPr>
    </w:r>
    <w:r>
      <w:rPr>
        <w:rFonts w:ascii="Times New Roman" w:hAnsi="Times New Roman" w:cs="Times New Roman"/>
        <w:lang w:val="sk-SK"/>
      </w:rPr>
    </w:r>
  </w:p>
  <w:p>
    <w:pPr>
      <w:pStyle w:val="96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ED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1036F9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903430D"/>
    <w:lvl w:ilvl="0">
      <w:isLgl w:val="false"/>
      <w:lvlJc w:val="left"/>
      <w:lvlText w:val="‐"/>
      <w:numFmt w:val="bullet"/>
      <w:pPr>
        <w:pBdr/>
        <w:spacing/>
        <w:ind w:hanging="360" w:left="720"/>
      </w:pPr>
      <w:rPr>
        <w:rFonts w:hint="default" w:ascii="Trebuchet MS" w:hAnsi="Trebuchet M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24323C5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254D23B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30DC27DD"/>
    <w:lvl w:ilvl="0">
      <w:isLgl w:val="false"/>
      <w:lvlJc w:val="left"/>
      <w:lvlText w:val="%1."/>
      <w:numFmt w:val="decimal"/>
      <w:pPr>
        <w:pBdr/>
        <w:spacing/>
        <w:ind w:hanging="360" w:left="3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4"/>
      </w:pPr>
      <w:rPr/>
      <w:start w:val="1"/>
      <w:suff w:val="tab"/>
    </w:lvl>
  </w:abstractNum>
  <w:abstractNum w:abstractNumId="6">
    <w:nsid w:val="38C04E35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3AE649D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3D4115E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nsid w:val="42200052"/>
    <w:lvl w:ilvl="0">
      <w:isLgl w:val="false"/>
      <w:lvlJc w:val="left"/>
      <w:lvlText w:val="%1."/>
      <w:numFmt w:val="decimal"/>
      <w:pPr>
        <w:pBdr/>
        <w:spacing/>
        <w:ind w:hanging="360" w:left="3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4"/>
      </w:pPr>
      <w:rPr/>
      <w:start w:val="1"/>
      <w:suff w:val="tab"/>
    </w:lvl>
  </w:abstractNum>
  <w:abstractNum w:abstractNumId="10">
    <w:nsid w:val="4CBE4B1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4CE771A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56CC103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6D5A729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77F84A3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0">
    <w:name w:val="Table Grid Light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1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2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3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5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6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5">
    <w:name w:val="Heading 1"/>
    <w:basedOn w:val="962"/>
    <w:next w:val="962"/>
    <w:link w:val="91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6">
    <w:name w:val="Heading 2"/>
    <w:basedOn w:val="962"/>
    <w:next w:val="962"/>
    <w:link w:val="91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7">
    <w:name w:val="Heading 3"/>
    <w:basedOn w:val="962"/>
    <w:next w:val="962"/>
    <w:link w:val="91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8">
    <w:name w:val="Heading 4"/>
    <w:basedOn w:val="962"/>
    <w:next w:val="962"/>
    <w:link w:val="9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9">
    <w:name w:val="Heading 5"/>
    <w:basedOn w:val="962"/>
    <w:next w:val="962"/>
    <w:link w:val="91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0">
    <w:name w:val="Heading 6"/>
    <w:basedOn w:val="962"/>
    <w:next w:val="962"/>
    <w:link w:val="91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1">
    <w:name w:val="Heading 7"/>
    <w:basedOn w:val="962"/>
    <w:next w:val="962"/>
    <w:link w:val="9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2">
    <w:name w:val="Heading 8"/>
    <w:basedOn w:val="962"/>
    <w:next w:val="962"/>
    <w:link w:val="92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Heading 9"/>
    <w:basedOn w:val="962"/>
    <w:next w:val="962"/>
    <w:link w:val="92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1 Char"/>
    <w:basedOn w:val="963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5">
    <w:name w:val="Heading 2 Char"/>
    <w:basedOn w:val="963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6">
    <w:name w:val="Heading 3 Char"/>
    <w:basedOn w:val="963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7">
    <w:name w:val="Heading 4 Char"/>
    <w:basedOn w:val="963"/>
    <w:link w:val="9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8">
    <w:name w:val="Heading 5 Char"/>
    <w:basedOn w:val="963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9">
    <w:name w:val="Heading 6 Char"/>
    <w:basedOn w:val="963"/>
    <w:link w:val="9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0">
    <w:name w:val="Heading 7 Char"/>
    <w:basedOn w:val="963"/>
    <w:link w:val="9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1">
    <w:name w:val="Heading 8 Char"/>
    <w:basedOn w:val="963"/>
    <w:link w:val="9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2">
    <w:name w:val="Heading 9 Char"/>
    <w:basedOn w:val="963"/>
    <w:link w:val="9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Title"/>
    <w:basedOn w:val="962"/>
    <w:next w:val="962"/>
    <w:link w:val="92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4">
    <w:name w:val="Title Char"/>
    <w:basedOn w:val="963"/>
    <w:link w:val="9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5">
    <w:name w:val="Subtitle"/>
    <w:basedOn w:val="962"/>
    <w:next w:val="962"/>
    <w:link w:val="92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6">
    <w:name w:val="Subtitle Char"/>
    <w:basedOn w:val="963"/>
    <w:link w:val="9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7">
    <w:name w:val="Quote"/>
    <w:basedOn w:val="962"/>
    <w:next w:val="962"/>
    <w:link w:val="92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8">
    <w:name w:val="Quote Char"/>
    <w:basedOn w:val="963"/>
    <w:link w:val="92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9">
    <w:name w:val="Intense Emphasis"/>
    <w:basedOn w:val="9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0">
    <w:name w:val="Intense Quote"/>
    <w:basedOn w:val="962"/>
    <w:next w:val="962"/>
    <w:link w:val="93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1">
    <w:name w:val="Intense Quote Char"/>
    <w:basedOn w:val="963"/>
    <w:link w:val="9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2">
    <w:name w:val="Intense Reference"/>
    <w:basedOn w:val="9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3">
    <w:name w:val="No Spacing"/>
    <w:basedOn w:val="962"/>
    <w:uiPriority w:val="1"/>
    <w:qFormat/>
    <w:pPr>
      <w:pBdr/>
      <w:spacing w:after="0" w:line="240" w:lineRule="auto"/>
      <w:ind/>
    </w:pPr>
  </w:style>
  <w:style w:type="character" w:styleId="934">
    <w:name w:val="Subtle Emphasis"/>
    <w:basedOn w:val="9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5">
    <w:name w:val="Emphasis"/>
    <w:basedOn w:val="963"/>
    <w:uiPriority w:val="20"/>
    <w:qFormat/>
    <w:pPr>
      <w:pBdr/>
      <w:spacing/>
      <w:ind/>
    </w:pPr>
    <w:rPr>
      <w:i/>
      <w:iCs/>
    </w:rPr>
  </w:style>
  <w:style w:type="character" w:styleId="936">
    <w:name w:val="Strong"/>
    <w:basedOn w:val="963"/>
    <w:uiPriority w:val="22"/>
    <w:qFormat/>
    <w:pPr>
      <w:pBdr/>
      <w:spacing/>
      <w:ind/>
    </w:pPr>
    <w:rPr>
      <w:b/>
      <w:bCs/>
    </w:rPr>
  </w:style>
  <w:style w:type="character" w:styleId="937">
    <w:name w:val="Subtle Reference"/>
    <w:basedOn w:val="9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8">
    <w:name w:val="Book Title"/>
    <w:basedOn w:val="9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9">
    <w:name w:val="Header Char"/>
    <w:basedOn w:val="963"/>
    <w:link w:val="967"/>
    <w:uiPriority w:val="99"/>
    <w:pPr>
      <w:pBdr/>
      <w:spacing/>
      <w:ind/>
    </w:pPr>
  </w:style>
  <w:style w:type="character" w:styleId="940">
    <w:name w:val="Footer Char"/>
    <w:basedOn w:val="963"/>
    <w:link w:val="969"/>
    <w:uiPriority w:val="99"/>
    <w:pPr>
      <w:pBdr/>
      <w:spacing/>
      <w:ind/>
    </w:pPr>
  </w:style>
  <w:style w:type="paragraph" w:styleId="941">
    <w:name w:val="Caption"/>
    <w:basedOn w:val="962"/>
    <w:next w:val="9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2">
    <w:name w:val="footnote text"/>
    <w:basedOn w:val="962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Footnote Text Char"/>
    <w:basedOn w:val="963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foot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paragraph" w:styleId="945">
    <w:name w:val="endnote text"/>
    <w:basedOn w:val="962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>
    <w:name w:val="Endnote Text Char"/>
    <w:basedOn w:val="963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end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character" w:styleId="948">
    <w:name w:val="Hyperlink"/>
    <w:basedOn w:val="9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9">
    <w:name w:val="FollowedHyperlink"/>
    <w:basedOn w:val="9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0">
    <w:name w:val="toc 1"/>
    <w:basedOn w:val="962"/>
    <w:next w:val="962"/>
    <w:uiPriority w:val="39"/>
    <w:unhideWhenUsed/>
    <w:pPr>
      <w:pBdr/>
      <w:spacing w:after="100"/>
      <w:ind/>
    </w:pPr>
  </w:style>
  <w:style w:type="paragraph" w:styleId="951">
    <w:name w:val="toc 2"/>
    <w:basedOn w:val="962"/>
    <w:next w:val="962"/>
    <w:uiPriority w:val="39"/>
    <w:unhideWhenUsed/>
    <w:pPr>
      <w:pBdr/>
      <w:spacing w:after="100"/>
      <w:ind w:left="220"/>
    </w:pPr>
  </w:style>
  <w:style w:type="paragraph" w:styleId="952">
    <w:name w:val="toc 3"/>
    <w:basedOn w:val="962"/>
    <w:next w:val="962"/>
    <w:uiPriority w:val="39"/>
    <w:unhideWhenUsed/>
    <w:pPr>
      <w:pBdr/>
      <w:spacing w:after="100"/>
      <w:ind w:left="440"/>
    </w:pPr>
  </w:style>
  <w:style w:type="paragraph" w:styleId="953">
    <w:name w:val="toc 4"/>
    <w:basedOn w:val="962"/>
    <w:next w:val="962"/>
    <w:uiPriority w:val="39"/>
    <w:unhideWhenUsed/>
    <w:pPr>
      <w:pBdr/>
      <w:spacing w:after="100"/>
      <w:ind w:left="660"/>
    </w:pPr>
  </w:style>
  <w:style w:type="paragraph" w:styleId="954">
    <w:name w:val="toc 5"/>
    <w:basedOn w:val="962"/>
    <w:next w:val="962"/>
    <w:uiPriority w:val="39"/>
    <w:unhideWhenUsed/>
    <w:pPr>
      <w:pBdr/>
      <w:spacing w:after="100"/>
      <w:ind w:left="880"/>
    </w:pPr>
  </w:style>
  <w:style w:type="paragraph" w:styleId="955">
    <w:name w:val="toc 6"/>
    <w:basedOn w:val="962"/>
    <w:next w:val="962"/>
    <w:uiPriority w:val="39"/>
    <w:unhideWhenUsed/>
    <w:pPr>
      <w:pBdr/>
      <w:spacing w:after="100"/>
      <w:ind w:left="1100"/>
    </w:pPr>
  </w:style>
  <w:style w:type="paragraph" w:styleId="956">
    <w:name w:val="toc 7"/>
    <w:basedOn w:val="962"/>
    <w:next w:val="962"/>
    <w:uiPriority w:val="39"/>
    <w:unhideWhenUsed/>
    <w:pPr>
      <w:pBdr/>
      <w:spacing w:after="100"/>
      <w:ind w:left="1320"/>
    </w:pPr>
  </w:style>
  <w:style w:type="paragraph" w:styleId="957">
    <w:name w:val="toc 8"/>
    <w:basedOn w:val="962"/>
    <w:next w:val="962"/>
    <w:uiPriority w:val="39"/>
    <w:unhideWhenUsed/>
    <w:pPr>
      <w:pBdr/>
      <w:spacing w:after="100"/>
      <w:ind w:left="1540"/>
    </w:pPr>
  </w:style>
  <w:style w:type="paragraph" w:styleId="958">
    <w:name w:val="toc 9"/>
    <w:basedOn w:val="962"/>
    <w:next w:val="962"/>
    <w:uiPriority w:val="39"/>
    <w:unhideWhenUsed/>
    <w:pPr>
      <w:pBdr/>
      <w:spacing w:after="100"/>
      <w:ind w:left="1760"/>
    </w:pPr>
  </w:style>
  <w:style w:type="character" w:styleId="959">
    <w:name w:val="Placeholder Text"/>
    <w:basedOn w:val="963"/>
    <w:uiPriority w:val="99"/>
    <w:semiHidden/>
    <w:pPr>
      <w:pBdr/>
      <w:spacing/>
      <w:ind/>
    </w:pPr>
    <w:rPr>
      <w:color w:val="666666"/>
    </w:r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>
    <w:name w:val="table of figures"/>
    <w:basedOn w:val="962"/>
    <w:next w:val="962"/>
    <w:uiPriority w:val="99"/>
    <w:unhideWhenUsed/>
    <w:pPr>
      <w:pBdr/>
      <w:spacing w:after="0" w:afterAutospacing="0"/>
      <w:ind/>
    </w:pPr>
  </w:style>
  <w:style w:type="paragraph" w:styleId="962" w:default="1">
    <w:name w:val="Normal"/>
    <w:qFormat/>
    <w:pPr>
      <w:pBdr/>
      <w:spacing/>
      <w:ind/>
    </w:pPr>
  </w:style>
  <w:style w:type="character" w:styleId="963" w:default="1">
    <w:name w:val="Default Paragraph Font"/>
    <w:uiPriority w:val="1"/>
    <w:semiHidden/>
    <w:unhideWhenUsed/>
    <w:pPr>
      <w:pBdr/>
      <w:spacing/>
      <w:ind/>
    </w:pPr>
  </w:style>
  <w:style w:type="table" w:styleId="9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5" w:default="1">
    <w:name w:val="No List"/>
    <w:uiPriority w:val="99"/>
    <w:semiHidden/>
    <w:unhideWhenUsed/>
    <w:pPr>
      <w:pBdr/>
      <w:spacing/>
      <w:ind/>
    </w:pPr>
  </w:style>
  <w:style w:type="paragraph" w:styleId="966">
    <w:name w:val="List Paragraph"/>
    <w:basedOn w:val="962"/>
    <w:uiPriority w:val="34"/>
    <w:qFormat/>
    <w:pPr>
      <w:pBdr/>
      <w:spacing/>
      <w:ind w:left="720"/>
      <w:contextualSpacing w:val="true"/>
    </w:pPr>
  </w:style>
  <w:style w:type="paragraph" w:styleId="967">
    <w:name w:val="Header"/>
    <w:basedOn w:val="962"/>
    <w:link w:val="96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68" w:customStyle="1">
    <w:name w:val="Hlavička Char"/>
    <w:basedOn w:val="963"/>
    <w:link w:val="967"/>
    <w:uiPriority w:val="99"/>
    <w:pPr>
      <w:pBdr/>
      <w:spacing/>
      <w:ind/>
    </w:pPr>
  </w:style>
  <w:style w:type="paragraph" w:styleId="969">
    <w:name w:val="Footer"/>
    <w:basedOn w:val="962"/>
    <w:link w:val="97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70" w:customStyle="1">
    <w:name w:val="Päta Char"/>
    <w:basedOn w:val="963"/>
    <w:link w:val="969"/>
    <w:uiPriority w:val="99"/>
    <w:pPr>
      <w:pBdr/>
      <w:spacing/>
      <w:ind/>
    </w:pPr>
  </w:style>
  <w:style w:type="table" w:styleId="971">
    <w:name w:val="Table Grid"/>
    <w:basedOn w:val="964"/>
    <w:uiPriority w:val="59"/>
    <w:pPr>
      <w:pBdr/>
      <w:spacing w:after="0" w:line="240" w:lineRule="auto"/>
      <w:ind/>
    </w:pPr>
    <w:rPr>
      <w:rFonts w:eastAsiaTheme="minorHAnsi"/>
      <w:lang w:val="sk-SK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Mriežka tabuľky1"/>
    <w:basedOn w:val="964"/>
    <w:next w:val="971"/>
    <w:uiPriority w:val="59"/>
    <w:pPr>
      <w:pBdr/>
      <w:spacing w:after="0" w:line="240" w:lineRule="auto"/>
      <w:ind/>
    </w:pPr>
    <w:rPr>
      <w:rFonts w:eastAsiaTheme="minorHAnsi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3">
    <w:name w:val="annotation text"/>
    <w:basedOn w:val="962"/>
    <w:link w:val="974"/>
    <w:uiPriority w:val="99"/>
    <w:semiHidden/>
    <w:unhideWhenUsed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character" w:styleId="974" w:customStyle="1">
    <w:name w:val="Text komentára Char"/>
    <w:basedOn w:val="963"/>
    <w:link w:val="973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E674978B-76A1-4797-87BB-40338FD3D748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160</cp:revision>
  <dcterms:created xsi:type="dcterms:W3CDTF">2016-02-11T10:46:00Z</dcterms:created>
  <dcterms:modified xsi:type="dcterms:W3CDTF">2026-03-27T13:35:45Z</dcterms:modified>
</cp:coreProperties>
</file>