
<file path=[Content_Types].xml><?xml version="1.0" encoding="utf-8"?>
<Types xmlns="http://schemas.openxmlformats.org/package/2006/content-types">
  <Default Extension="fntdata" ContentType="application/x-fontdata"/>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16.odttf" ContentType="application/vnd.openxmlformats-officedocument.obfuscatedFont"/>
  <Override PartName="/word/fonts/font17.odttf" ContentType="application/vnd.openxmlformats-officedocument.obfuscatedFont"/>
  <Override PartName="/word/header3.xml" ContentType="application/vnd.openxmlformats-officedocument.wordprocessingml.header+xml"/>
  <Override PartName="/word/styles.xml" ContentType="application/vnd.openxmlformats-officedocument.wordprocessingml.styles+xml"/>
  <Override PartName="/word/header1.xml" ContentType="application/vnd.openxmlformats-officedocument.wordprocessingml.header+xml"/>
  <Override PartName="/word/settings.xml" ContentType="application/vnd.openxmlformats-officedocument.wordprocessingml.settings+xml"/>
  <Override PartName="/word/fontTable.xml" ContentType="application/vnd.openxmlformats-officedocument.wordprocessingml.fontTable+xml"/>
  <Override PartName="/word/header2.xml" ContentType="application/vnd.openxmlformats-officedocument.wordprocessingml.header+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1"/>
        <w:spacing w:lineRule="auto" w:line="240"/>
        <w:rPr>
          <w:rFonts w:ascii="Times New Roman" w:hAnsi="Times New Roman" w:eastAsia="Times New Roman" w:cs="Times New Roman"/>
          <w:b/>
          <w:bCs/>
          <w:sz w:val="24"/>
          <w:szCs w:val="24"/>
        </w:rPr>
      </w:pPr>
      <w:bookmarkStart w:id="0" w:name="_gjdgxs"/>
      <w:bookmarkEnd w:id="0"/>
      <w:r>
        <w:rPr>
          <w:rFonts w:eastAsia="Times New Roman" w:cs="Times New Roman" w:ascii="Times New Roman" w:hAnsi="Times New Roman"/>
          <w:sz w:val="24"/>
          <w:szCs w:val="24"/>
        </w:rPr>
        <w:t>Stavba</w:t>
        <w:tab/>
        <w:tab/>
        <w:t xml:space="preserve">: </w:t>
      </w:r>
      <w:r>
        <w:rPr>
          <w:rFonts w:eastAsia="Times New Roman" w:cs="Times New Roman" w:ascii="Times New Roman" w:hAnsi="Times New Roman"/>
          <w:b/>
          <w:bCs/>
          <w:sz w:val="24"/>
          <w:szCs w:val="24"/>
        </w:rPr>
        <w:t>Skatepark Mládežnícka - Trenčín</w:t>
      </w:r>
    </w:p>
    <w:p>
      <w:pPr>
        <w:pStyle w:val="normal1"/>
        <w:spacing w:lineRule="auto" w:line="240"/>
        <w:rPr>
          <w:rFonts w:ascii="Times New Roman" w:hAnsi="Times New Roman" w:eastAsia="Times New Roman" w:cs="Times New Roman"/>
          <w:b/>
          <w:bCs/>
          <w:sz w:val="24"/>
          <w:szCs w:val="24"/>
        </w:rPr>
      </w:pPr>
      <w:bookmarkStart w:id="1" w:name="_30j0zll"/>
      <w:bookmarkEnd w:id="1"/>
      <w:r>
        <w:rPr>
          <w:rFonts w:eastAsia="Times New Roman" w:cs="Times New Roman" w:ascii="Times New Roman" w:hAnsi="Times New Roman"/>
          <w:sz w:val="24"/>
          <w:szCs w:val="24"/>
        </w:rPr>
        <w:t>Objednávateľ</w:t>
        <w:tab/>
        <w:t>:</w:t>
      </w:r>
      <w:r>
        <w:rPr>
          <w:rFonts w:eastAsia="Times New Roman" w:cs="Times New Roman" w:ascii="Times New Roman" w:hAnsi="Times New Roman"/>
          <w:b/>
          <w:bCs/>
          <w:sz w:val="24"/>
          <w:szCs w:val="24"/>
        </w:rPr>
        <w:t xml:space="preserve"> Mesto Trenčín, Mierové nám. 1/2, 911 64 Trenčín, Slovenská republika</w:t>
      </w:r>
    </w:p>
    <w:p>
      <w:pPr>
        <w:pStyle w:val="normal1"/>
        <w:spacing w:lineRule="auto" w:line="240"/>
        <w:rPr>
          <w:rFonts w:ascii="Times New Roman" w:hAnsi="Times New Roman" w:eastAsia="Times New Roman" w:cs="Times New Roman"/>
          <w:b/>
          <w:bCs/>
          <w:sz w:val="24"/>
          <w:szCs w:val="24"/>
        </w:rPr>
      </w:pPr>
      <w:bookmarkStart w:id="2" w:name="_1fob9te"/>
      <w:bookmarkEnd w:id="2"/>
      <w:r>
        <w:rPr>
          <w:rFonts w:eastAsia="Times New Roman" w:cs="Times New Roman" w:ascii="Times New Roman" w:hAnsi="Times New Roman"/>
          <w:sz w:val="24"/>
          <w:szCs w:val="24"/>
        </w:rPr>
        <w:t>Miesto</w:t>
        <w:tab/>
        <w:tab/>
        <w:t xml:space="preserve">: </w:t>
      </w:r>
      <w:hyperlink r:id="rId2">
        <w:r>
          <w:rPr>
            <w:rStyle w:val="Style3"/>
            <w:rFonts w:eastAsia="Times New Roman" w:cs="Times New Roman" w:ascii="Times New Roman" w:hAnsi="Times New Roman"/>
            <w:b/>
            <w:bCs/>
            <w:sz w:val="24"/>
            <w:szCs w:val="24"/>
            <w:highlight w:val="white"/>
          </w:rPr>
          <w:t>Mládežnícka ulica, 911 01 Trenčín</w:t>
        </w:r>
      </w:hyperlink>
    </w:p>
    <w:p>
      <w:pPr>
        <w:pStyle w:val="normal1"/>
        <w:spacing w:lineRule="auto" w:line="240"/>
        <w:rPr>
          <w:rFonts w:ascii="Times New Roman" w:hAnsi="Times New Roman" w:eastAsia="Times New Roman" w:cs="Times New Roman"/>
          <w:b/>
          <w:bCs/>
          <w:sz w:val="24"/>
          <w:szCs w:val="24"/>
        </w:rPr>
      </w:pPr>
      <w:r>
        <w:rPr>
          <w:rFonts w:eastAsia="Times New Roman" w:cs="Times New Roman" w:ascii="Times New Roman" w:hAnsi="Times New Roman"/>
          <w:sz w:val="24"/>
          <w:szCs w:val="24"/>
        </w:rPr>
        <w:t>Stupeň</w:t>
        <w:tab/>
        <w:tab/>
        <w:t xml:space="preserve">: </w:t>
      </w:r>
      <w:r>
        <w:rPr>
          <w:rFonts w:eastAsia="Times New Roman" w:cs="Times New Roman" w:ascii="Times New Roman" w:hAnsi="Times New Roman"/>
          <w:b/>
          <w:bCs/>
          <w:sz w:val="24"/>
          <w:szCs w:val="24"/>
        </w:rPr>
        <w:t>Dokumentácia pre stavebné povolenie</w:t>
      </w:r>
    </w:p>
    <w:p>
      <w:pPr>
        <w:pStyle w:val="normal1"/>
        <w:spacing w:lineRule="auto" w:line="240"/>
        <w:rPr>
          <w:rFonts w:ascii="Times New Roman" w:hAnsi="Times New Roman" w:eastAsia="Times New Roman" w:cs="Times New Roman"/>
          <w:b/>
          <w:bCs/>
          <w:sz w:val="24"/>
          <w:szCs w:val="24"/>
        </w:rPr>
      </w:pPr>
      <w:r>
        <w:rPr>
          <w:rFonts w:eastAsia="Times New Roman" w:cs="Times New Roman" w:ascii="Times New Roman" w:hAnsi="Times New Roman"/>
          <w:b/>
          <w:bCs/>
          <w:sz w:val="24"/>
          <w:szCs w:val="24"/>
        </w:rPr>
      </w:r>
    </w:p>
    <w:p>
      <w:pPr>
        <w:pStyle w:val="normal1"/>
        <w:spacing w:lineRule="auto" w:line="240"/>
        <w:ind w:firstLine="720"/>
        <w:rPr>
          <w:rFonts w:ascii="Times New Roman" w:hAnsi="Times New Roman" w:eastAsia="Times New Roman" w:cs="Times New Roman"/>
          <w:b/>
          <w:bCs/>
          <w:sz w:val="24"/>
          <w:szCs w:val="24"/>
        </w:rPr>
      </w:pPr>
      <w:r>
        <w:rPr>
          <w:rFonts w:eastAsia="Times New Roman" w:cs="Times New Roman" w:ascii="Times New Roman" w:hAnsi="Times New Roman"/>
          <w:b/>
          <w:bCs/>
          <w:sz w:val="24"/>
          <w:szCs w:val="24"/>
        </w:rPr>
        <w:t>1 SITUOVANIE A STAV ÚZEMIA</w:t>
      </w:r>
    </w:p>
    <w:p>
      <w:pPr>
        <w:pStyle w:val="normal1"/>
        <w:spacing w:lineRule="auto" w:line="240"/>
        <w:ind w:firstLine="720"/>
        <w:rPr>
          <w:rFonts w:ascii="Times New Roman" w:hAnsi="Times New Roman" w:eastAsia="Times New Roman" w:cs="Times New Roman"/>
          <w:sz w:val="24"/>
          <w:szCs w:val="24"/>
        </w:rPr>
      </w:pPr>
      <w:r>
        <w:rPr>
          <w:rFonts w:eastAsia="Times New Roman" w:cs="Times New Roman" w:ascii="Times New Roman" w:hAnsi="Times New Roman"/>
          <w:sz w:val="24"/>
          <w:szCs w:val="24"/>
        </w:rPr>
        <w:t>Situovanie navrhovanej stavby, jej častí a príslušenstva je výhradne na pozemkoch investora - Mesto Trenčín. Jedná sa o parcely KN-C 1562/2, KN-C 1562/3, KN-C 1562/4, KN-C 1627/130, KN-C 1627/391, KN-C 1627/463, KN-C 1627/464, KN-C 1627/465, KN-C 1627/641, KN-C 1627/642, KN-C 1627/785, KN-C 1627/787, KN-C 1627/789, KN-C 1627/791, KN-C 1927/792, KN-C 1627/793 v k. ú. Trenčín. Celková plocha riešeného územia je 3109,75 m2.</w:t>
      </w:r>
    </w:p>
    <w:p>
      <w:pPr>
        <w:pStyle w:val="normal1"/>
        <w:spacing w:lineRule="auto" w:line="240"/>
        <w:ind w:firstLine="720"/>
        <w:rPr>
          <w:rFonts w:ascii="Times New Roman" w:hAnsi="Times New Roman" w:eastAsia="Times New Roman" w:cs="Times New Roman"/>
          <w:sz w:val="24"/>
          <w:szCs w:val="24"/>
          <w:highlight w:val="yellow"/>
        </w:rPr>
      </w:pPr>
      <w:r>
        <w:rPr>
          <w:rFonts w:eastAsia="Times New Roman" w:cs="Times New Roman" w:ascii="Times New Roman" w:hAnsi="Times New Roman"/>
          <w:sz w:val="24"/>
          <w:szCs w:val="24"/>
          <w:highlight w:val="yellow"/>
        </w:rPr>
      </w:r>
    </w:p>
    <w:p>
      <w:pPr>
        <w:pStyle w:val="normal1"/>
        <w:spacing w:lineRule="auto" w:line="240"/>
        <w:ind w:firstLine="720"/>
        <w:rPr>
          <w:rFonts w:ascii="Times New Roman" w:hAnsi="Times New Roman" w:eastAsia="Times New Roman" w:cs="Times New Roman"/>
          <w:sz w:val="24"/>
          <w:szCs w:val="24"/>
        </w:rPr>
      </w:pPr>
      <w:r>
        <w:rPr>
          <w:rFonts w:eastAsia="Times New Roman" w:cs="Times New Roman" w:ascii="Times New Roman" w:hAnsi="Times New Roman"/>
          <w:sz w:val="24"/>
          <w:szCs w:val="24"/>
        </w:rPr>
        <w:t>Na parcelách sa nenachádza žiadna jestvujúca zástavba, žiadna výsadba (ani náletové dreviny) žiadne prvky infraštruktúry či mestského mobiliáru, ktoré by boli určené na búracie práce. Predmetom búracích prác je existujúci chodník z betónovej zámkovej dlažby a ornica.</w:t>
      </w:r>
    </w:p>
    <w:p>
      <w:pPr>
        <w:pStyle w:val="normal1"/>
        <w:spacing w:lineRule="auto" w:line="240"/>
        <w:rPr>
          <w:rFonts w:ascii="Times New Roman" w:hAnsi="Times New Roman" w:eastAsia="Times New Roman" w:cs="Times New Roman"/>
          <w:b/>
          <w:bCs/>
          <w:sz w:val="24"/>
          <w:szCs w:val="24"/>
        </w:rPr>
      </w:pPr>
      <w:r>
        <w:rPr>
          <w:rFonts w:eastAsia="Times New Roman" w:cs="Times New Roman" w:ascii="Times New Roman" w:hAnsi="Times New Roman"/>
          <w:b/>
          <w:bCs/>
          <w:sz w:val="24"/>
          <w:szCs w:val="24"/>
        </w:rPr>
      </w:r>
    </w:p>
    <w:p>
      <w:pPr>
        <w:pStyle w:val="normal1"/>
        <w:spacing w:lineRule="auto" w:line="240"/>
        <w:ind w:firstLine="720"/>
        <w:rPr>
          <w:rFonts w:ascii="Times New Roman" w:hAnsi="Times New Roman" w:eastAsia="Times New Roman" w:cs="Times New Roman"/>
          <w:b/>
          <w:bCs/>
          <w:sz w:val="24"/>
          <w:szCs w:val="24"/>
        </w:rPr>
      </w:pPr>
      <w:r>
        <w:rPr>
          <w:rFonts w:eastAsia="Times New Roman" w:cs="Times New Roman" w:ascii="Times New Roman" w:hAnsi="Times New Roman"/>
          <w:b/>
          <w:bCs/>
          <w:sz w:val="24"/>
          <w:szCs w:val="24"/>
        </w:rPr>
        <w:t>2 PRÍPRAVA ÚZEMIA</w:t>
      </w:r>
    </w:p>
    <w:p>
      <w:pPr>
        <w:pStyle w:val="normal1"/>
        <w:spacing w:lineRule="auto" w:line="240"/>
        <w:ind w:firstLine="720"/>
        <w:rPr>
          <w:rFonts w:ascii="Times New Roman" w:hAnsi="Times New Roman" w:eastAsia="Times New Roman" w:cs="Times New Roman"/>
          <w:sz w:val="24"/>
          <w:szCs w:val="24"/>
        </w:rPr>
      </w:pPr>
      <w:r>
        <w:rPr>
          <w:rFonts w:eastAsia="Times New Roman" w:cs="Times New Roman" w:ascii="Times New Roman" w:hAnsi="Times New Roman"/>
          <w:sz w:val="24"/>
          <w:szCs w:val="24"/>
        </w:rPr>
        <w:t>Pred začatím búracích prác treba v predstihu realizovať nasledovné činnosti:</w:t>
      </w:r>
    </w:p>
    <w:p>
      <w:pPr>
        <w:pStyle w:val="normal1"/>
        <w:spacing w:lineRule="auto" w:line="240"/>
        <w:ind w:hanging="0" w:start="0"/>
        <w:rPr>
          <w:rFonts w:ascii="Times New Roman" w:hAnsi="Times New Roman" w:eastAsia="Times New Roman" w:cs="Times New Roman"/>
          <w:sz w:val="24"/>
          <w:szCs w:val="24"/>
        </w:rPr>
      </w:pPr>
      <w:r>
        <w:rPr>
          <w:rFonts w:eastAsia="Times New Roman" w:cs="Times New Roman" w:ascii="Times New Roman" w:hAnsi="Times New Roman"/>
          <w:sz w:val="24"/>
          <w:szCs w:val="24"/>
        </w:rPr>
        <w:t>- Prieskumné a prípravné práce.</w:t>
      </w:r>
    </w:p>
    <w:p>
      <w:pPr>
        <w:pStyle w:val="normal1"/>
        <w:spacing w:lineRule="auto" w:line="240"/>
        <w:ind w:hanging="0" w:start="0"/>
        <w:rPr>
          <w:rFonts w:ascii="Times New Roman" w:hAnsi="Times New Roman" w:eastAsia="Times New Roman" w:cs="Times New Roman"/>
          <w:sz w:val="24"/>
          <w:szCs w:val="24"/>
        </w:rPr>
      </w:pPr>
      <w:r>
        <w:rPr>
          <w:rFonts w:eastAsia="Times New Roman" w:cs="Times New Roman" w:ascii="Times New Roman" w:hAnsi="Times New Roman"/>
          <w:sz w:val="24"/>
          <w:szCs w:val="24"/>
        </w:rPr>
        <w:t>- Dodržať všetky ustanovenia a podmienky správcov dotknutej technickej infraštruktúry.</w:t>
      </w:r>
    </w:p>
    <w:p>
      <w:pPr>
        <w:pStyle w:val="normal1"/>
        <w:spacing w:lineRule="auto" w:line="240"/>
        <w:ind w:hanging="0" w:start="0"/>
        <w:rPr>
          <w:rFonts w:ascii="Times New Roman" w:hAnsi="Times New Roman" w:eastAsia="Times New Roman" w:cs="Times New Roman"/>
          <w:sz w:val="24"/>
          <w:szCs w:val="24"/>
        </w:rPr>
      </w:pPr>
      <w:r>
        <w:rPr>
          <w:rFonts w:eastAsia="Times New Roman" w:cs="Times New Roman" w:ascii="Times New Roman" w:hAnsi="Times New Roman"/>
          <w:sz w:val="24"/>
          <w:szCs w:val="24"/>
        </w:rPr>
        <w:t>- Vytýčiť všetky inžinierske siete v rámci riešeného územia.</w:t>
      </w:r>
    </w:p>
    <w:p>
      <w:pPr>
        <w:pStyle w:val="normal1"/>
        <w:spacing w:lineRule="auto" w:line="240"/>
        <w:rPr>
          <w:rFonts w:ascii="Times New Roman" w:hAnsi="Times New Roman" w:eastAsia="Times New Roman" w:cs="Times New Roman"/>
          <w:b/>
          <w:bCs/>
          <w:sz w:val="24"/>
          <w:szCs w:val="24"/>
        </w:rPr>
      </w:pPr>
      <w:r>
        <w:rPr>
          <w:rFonts w:eastAsia="Times New Roman" w:cs="Times New Roman" w:ascii="Times New Roman" w:hAnsi="Times New Roman"/>
          <w:b/>
          <w:bCs/>
          <w:sz w:val="24"/>
          <w:szCs w:val="24"/>
        </w:rPr>
      </w:r>
    </w:p>
    <w:p>
      <w:pPr>
        <w:pStyle w:val="normal1"/>
        <w:spacing w:lineRule="auto" w:line="240"/>
        <w:ind w:firstLine="720"/>
        <w:rPr>
          <w:rFonts w:ascii="Times New Roman" w:hAnsi="Times New Roman" w:eastAsia="Times New Roman" w:cs="Times New Roman"/>
          <w:b/>
          <w:bCs/>
          <w:sz w:val="24"/>
          <w:szCs w:val="24"/>
        </w:rPr>
      </w:pPr>
      <w:r>
        <w:rPr>
          <w:rFonts w:eastAsia="Times New Roman" w:cs="Times New Roman" w:ascii="Times New Roman" w:hAnsi="Times New Roman"/>
          <w:b/>
          <w:bCs/>
          <w:sz w:val="24"/>
          <w:szCs w:val="24"/>
        </w:rPr>
        <w:t>3 BÚRACIE PRÁCE</w:t>
      </w:r>
    </w:p>
    <w:p>
      <w:pPr>
        <w:pStyle w:val="normal1"/>
        <w:spacing w:lineRule="auto" w:line="240"/>
        <w:ind w:firstLine="720"/>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Búracie práce sú spojené s odstránením ornice a jestvujúceho chodníka na severnej strane riešeného územia orientovaného smerom k mestskej plavárni. </w:t>
      </w:r>
    </w:p>
    <w:p>
      <w:pPr>
        <w:pStyle w:val="normal1"/>
        <w:spacing w:lineRule="auto" w:line="240"/>
        <w:ind w:firstLine="720"/>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1"/>
        <w:spacing w:lineRule="auto" w:line="240"/>
        <w:ind w:firstLine="720"/>
        <w:rPr>
          <w:rFonts w:ascii="Times New Roman" w:hAnsi="Times New Roman" w:eastAsia="Times New Roman" w:cs="Times New Roman"/>
          <w:sz w:val="24"/>
          <w:szCs w:val="24"/>
        </w:rPr>
      </w:pPr>
      <w:r>
        <w:rPr>
          <w:rFonts w:eastAsia="Times New Roman" w:cs="Times New Roman" w:ascii="Times New Roman" w:hAnsi="Times New Roman"/>
          <w:sz w:val="24"/>
          <w:szCs w:val="24"/>
        </w:rPr>
        <w:t>Ornica sa odstráni v rozsahu 2994,20m2 územia minimálne do hĺbky 30 centimetrov až po vytvorenie voľnej plochy pripravenej na budúcu výstavbu.</w:t>
      </w:r>
    </w:p>
    <w:p>
      <w:pPr>
        <w:pStyle w:val="normal1"/>
        <w:spacing w:lineRule="auto" w:line="240"/>
        <w:ind w:firstLine="720"/>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1"/>
        <w:spacing w:lineRule="auto" w:line="240"/>
        <w:ind w:firstLine="720"/>
        <w:rPr>
          <w:rFonts w:ascii="Times New Roman" w:hAnsi="Times New Roman" w:eastAsia="Times New Roman" w:cs="Times New Roman"/>
          <w:sz w:val="24"/>
          <w:szCs w:val="24"/>
        </w:rPr>
      </w:pPr>
      <w:r>
        <w:rPr>
          <w:rFonts w:eastAsia="Times New Roman" w:cs="Times New Roman" w:ascii="Times New Roman" w:hAnsi="Times New Roman"/>
          <w:sz w:val="24"/>
          <w:szCs w:val="24"/>
        </w:rPr>
        <w:t>Chodník z betónovej zámkovej dlažby sa odstráni v rozsahu špecifikovanom v projektovej dokumentácii v celkovej ploche 115,50m2. Odstráni sa povrchová pochôdzna vrstva vrátane celej skladby spevnenej plochy. Betónové obrubníky smerom k vozovke Mládežníckej ulice zostanú ponechané.</w:t>
      </w:r>
    </w:p>
    <w:p>
      <w:pPr>
        <w:pStyle w:val="normal1"/>
        <w:spacing w:lineRule="auto" w:line="240"/>
        <w:rPr>
          <w:rFonts w:ascii="Times New Roman" w:hAnsi="Times New Roman" w:eastAsia="Times New Roman" w:cs="Times New Roman"/>
          <w:b/>
          <w:bCs/>
          <w:sz w:val="24"/>
          <w:szCs w:val="24"/>
        </w:rPr>
      </w:pPr>
      <w:r>
        <w:rPr>
          <w:rFonts w:eastAsia="Times New Roman" w:cs="Times New Roman" w:ascii="Times New Roman" w:hAnsi="Times New Roman"/>
          <w:b/>
          <w:bCs/>
          <w:sz w:val="24"/>
          <w:szCs w:val="24"/>
        </w:rPr>
      </w:r>
    </w:p>
    <w:p>
      <w:pPr>
        <w:pStyle w:val="normal1"/>
        <w:spacing w:lineRule="auto" w:line="240"/>
        <w:ind w:firstLine="720"/>
        <w:rPr>
          <w:rFonts w:ascii="Times New Roman" w:hAnsi="Times New Roman" w:eastAsia="Times New Roman" w:cs="Times New Roman"/>
          <w:b/>
          <w:bCs/>
          <w:sz w:val="24"/>
          <w:szCs w:val="24"/>
        </w:rPr>
      </w:pPr>
      <w:r>
        <w:rPr>
          <w:rFonts w:eastAsia="Times New Roman" w:cs="Times New Roman" w:ascii="Times New Roman" w:hAnsi="Times New Roman"/>
          <w:b/>
          <w:bCs/>
          <w:sz w:val="24"/>
          <w:szCs w:val="24"/>
        </w:rPr>
        <w:t>4 VŠEOBECNÉ OPATRENIA Z HĽADISKA BEZPEČNOSTI, HYGIENY PRÁCE A OCHRANY ŽIVOTNÉHO PROSTREDIA</w:t>
      </w:r>
    </w:p>
    <w:p>
      <w:pPr>
        <w:pStyle w:val="normal1"/>
        <w:spacing w:lineRule="auto" w:line="240"/>
        <w:ind w:firstLine="720"/>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Búracie práce sa musia vykonať v súlade s osobitnými predpismi z hľadiska bezpečnosti, hygieny práce a ochrany životného prostredia. Je potrebné čo najviac minimalizovať negatívne prejavy pri výkone búracích prác a to hluk, prach, rušenie okolia, nežiaduce zásahy do okolitého prostredia. </w:t>
      </w:r>
    </w:p>
    <w:p>
      <w:pPr>
        <w:pStyle w:val="normal1"/>
        <w:spacing w:lineRule="auto" w:line="240"/>
        <w:ind w:firstLine="720"/>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1"/>
        <w:spacing w:lineRule="auto" w:line="240"/>
        <w:ind w:firstLine="720"/>
        <w:rPr>
          <w:rFonts w:ascii="Times New Roman" w:hAnsi="Times New Roman" w:eastAsia="Times New Roman" w:cs="Times New Roman"/>
          <w:sz w:val="24"/>
          <w:szCs w:val="24"/>
        </w:rPr>
      </w:pPr>
      <w:r>
        <w:rPr>
          <w:rFonts w:eastAsia="Times New Roman" w:cs="Times New Roman" w:ascii="Times New Roman" w:hAnsi="Times New Roman"/>
          <w:sz w:val="24"/>
          <w:szCs w:val="24"/>
        </w:rPr>
        <w:t>Po búracích prácach vzniká odpad, ktorý je potrebné odviesť a vhodne uskladniť v súlade s platnými normami o životnom prostredí. Vybúraný materiál zo spevnených plôch a odkopaný materiál z ornice sa musí bezodkladne odstraňovať aby jeho skladovaním nedošlo k obmedzeniu ďalšieho priebehu búracích prác. Odpady je potrebné triediť v čo najväčšej miere a zhromažďovať oddelene v kontajneroch podľa druhov tak, aby sa vhodné odpady mohli recyklovať. Všetky odpady podľa jednotlivých druhov bude potrebné evidovať. Búracie práce sa budú vykonávať primárne rýpadlom a pomocou malých mechanizmov. V blízkosti ponechaného betónového obrubníka a v blízkosti inžinierskych sietí sa budú búracie práce realizovať ručne, s ručným náradím. Pri búraní sa nepoužívajú žiadne detonačné zariadenia.</w:t>
      </w:r>
    </w:p>
    <w:p>
      <w:pPr>
        <w:pStyle w:val="normal1"/>
        <w:spacing w:lineRule="auto" w:line="240"/>
        <w:ind w:firstLine="720"/>
        <w:rPr>
          <w:rFonts w:ascii="Times New Roman" w:hAnsi="Times New Roman" w:eastAsia="Times New Roman" w:cs="Times New Roman"/>
          <w:sz w:val="24"/>
          <w:szCs w:val="24"/>
        </w:rPr>
      </w:pPr>
      <w:r>
        <w:rPr>
          <w:rFonts w:eastAsia="Times New Roman" w:cs="Times New Roman" w:ascii="Times New Roman" w:hAnsi="Times New Roman"/>
          <w:sz w:val="24"/>
          <w:szCs w:val="24"/>
        </w:rPr>
        <w:t>Pri búracích prácach sa nevyžaduje odpojenie inžinierskych sietí. Spôsob odber el. prúdu pre potreby búracích prác musí špecifikovať stavebník. Ako alternatívne napojenie je možné využiť elektrocentrálu. Na zníženie prašnosti búracích prác je potrebné zabezpečiť zdroj vody. Napojenie na odber vody musí špecifikovať stavebník. Stavebný materiál získaný odstraňovaním stavby sa odstráni na skládku určenú mestským úradom.</w:t>
      </w:r>
    </w:p>
    <w:p>
      <w:pPr>
        <w:pStyle w:val="normal1"/>
        <w:spacing w:lineRule="auto" w:line="240"/>
        <w:ind w:firstLine="720"/>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1"/>
        <w:spacing w:lineRule="auto" w:line="240"/>
        <w:ind w:firstLine="720"/>
        <w:rPr>
          <w:rFonts w:ascii="Times New Roman" w:hAnsi="Times New Roman" w:eastAsia="Times New Roman" w:cs="Times New Roman"/>
          <w:b/>
          <w:bCs/>
          <w:sz w:val="24"/>
          <w:szCs w:val="24"/>
        </w:rPr>
      </w:pPr>
      <w:r>
        <w:rPr>
          <w:rFonts w:eastAsia="Times New Roman" w:cs="Times New Roman" w:ascii="Times New Roman" w:hAnsi="Times New Roman"/>
          <w:b/>
          <w:bCs/>
          <w:sz w:val="24"/>
          <w:szCs w:val="24"/>
        </w:rPr>
        <w:t>5 DODATOČNÁ OCHRANA INŽINIERSKYCH SIETÍ</w:t>
      </w:r>
    </w:p>
    <w:p>
      <w:pPr>
        <w:pStyle w:val="normal1"/>
        <w:spacing w:lineRule="auto" w:line="240"/>
        <w:ind w:firstLine="720"/>
        <w:rPr>
          <w:rFonts w:ascii="Times New Roman" w:hAnsi="Times New Roman" w:eastAsia="Times New Roman" w:cs="Times New Roman"/>
          <w:sz w:val="24"/>
          <w:szCs w:val="24"/>
        </w:rPr>
      </w:pPr>
      <w:r>
        <w:rPr>
          <w:rFonts w:eastAsia="Times New Roman" w:cs="Times New Roman" w:ascii="Times New Roman" w:hAnsi="Times New Roman"/>
          <w:sz w:val="24"/>
          <w:szCs w:val="24"/>
        </w:rPr>
        <w:t>Nepredpokladá sa mimoriadna záťaž mechanizmami v mieste inžinierskych sietí. Avšak ak bude potrebný prejazd alebo manipulácia mechanizmov v mieste inžinierskych sietí, tak je potrebné dodržať opatrenia pre ich ochranu, napríklad formou využitia cestných panelov. Opatrenia sa bližšie špecifikujú pri preverení hĺbky uloženia inžinierskych sietí.</w:t>
      </w:r>
    </w:p>
    <w:p>
      <w:pPr>
        <w:pStyle w:val="normal1"/>
        <w:spacing w:lineRule="auto" w:line="240"/>
        <w:ind w:firstLine="720"/>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1"/>
        <w:spacing w:lineRule="auto" w:line="240"/>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Trenčín, </w:t>
      </w:r>
      <w:r>
        <w:rPr>
          <w:rFonts w:eastAsia="Times New Roman" w:cs="Times New Roman" w:ascii="Times New Roman" w:hAnsi="Times New Roman"/>
          <w:sz w:val="24"/>
          <w:szCs w:val="24"/>
        </w:rPr>
        <w:t>02/2026</w:t>
      </w:r>
      <w:r>
        <w:rPr>
          <w:rFonts w:eastAsia="Times New Roman" w:cs="Times New Roman" w:ascii="Times New Roman" w:hAnsi="Times New Roman"/>
          <w:sz w:val="24"/>
          <w:szCs w:val="24"/>
        </w:rPr>
        <w:tab/>
        <w:tab/>
        <w:tab/>
        <w:t>Vypracoval: Ing. arch. Alexander Topilin a kolektív</w:t>
      </w:r>
    </w:p>
    <w:sectPr>
      <w:headerReference w:type="even" r:id="rId3"/>
      <w:headerReference w:type="default" r:id="rId4"/>
      <w:headerReference w:type="first" r:id="rId5"/>
      <w:type w:val="nextPage"/>
      <w:pgSz w:w="11906" w:h="16838"/>
      <w:pgMar w:left="1440" w:right="1440" w:gutter="0" w:header="720" w:top="1440" w:footer="0" w:bottom="1440"/>
      <w:pgNumType w:start="1" w:fmt="decimal"/>
      <w:formProt w:val="false"/>
      <w:textDirection w:val="lrTb"/>
      <w:docGrid w:type="default" w:linePitch="100" w:charSpace="0"/>
    </w:sectPr>
  </w:body>
</w:document>
</file>

<file path=word/fontTable.xml><?xml version="1.0" encoding="utf-8"?>
<w:fonts xmlns:w="http://schemas.openxmlformats.org/wordprocessingml/2006/main" xmlns:r="http://schemas.openxmlformats.org/officeDocument/2006/relationships">
  <w:font w:name="Times New Roman">
    <w:charset w:val="00" w:characterSet="windows-1252"/>
    <w:family w:val="roman"/>
    <w:pitch w:val="variable"/>
    <w:embedRegular r:id="rId1" w:fontKey="{01014A78-CABC-4EF0-12AC-5CD89AEFDE01}"/>
    <w:embedBold r:id="rId2" w:fontKey="{02014A78-CABC-4EF0-12AC-5CD89AEFDE02}"/>
    <w:embedItalic r:id="rId3" w:fontKey="{03014A78-CABC-4EF0-12AC-5CD89AEFDE03}"/>
    <w:embedBoldItalic r:id="rId4" w:fontKey="{04014A78-CABC-4EF0-12AC-5CD89AEFDE04}"/>
  </w:font>
  <w:font w:name="Symbol">
    <w:charset w:val="02"/>
    <w:family w:val="roman"/>
    <w:pitch w:val="variable"/>
    <w:embedRegular r:id="rId5" w:fontKey="{05014A78-CABC-4EF0-12AC-5CD89AEFDE05}"/>
  </w:font>
  <w:font w:name="Arial">
    <w:charset w:val="00" w:characterSet="windows-1252"/>
    <w:family w:val="swiss"/>
    <w:pitch w:val="variable"/>
    <w:embedRegular r:id="rId6" w:fontKey="{06014A78-CABC-4EF0-12AC-5CD89AEFDE06}"/>
    <w:embedBold r:id="rId7" w:fontKey="{07014A78-CABC-4EF0-12AC-5CD89AEFDE07}"/>
    <w:embedItalic r:id="rId8" w:fontKey="{08014A78-CABC-4EF0-12AC-5CD89AEFDE08}"/>
    <w:embedBoldItalic r:id="rId9" w:fontKey="{09014A78-CABC-4EF0-12AC-5CD89AEFDE09}"/>
  </w:font>
  <w:font w:name="Liberation Serif">
    <w:altName w:val="Times New Roman"/>
    <w:charset w:val="ee" w:characterSet="windows-1250"/>
    <w:family w:val="roman"/>
    <w:pitch w:val="variable"/>
    <w:embedRegular r:id="rId10" w:fontKey="{0A014A78-CABC-4EF0-12AC-5CD89AEFDE0A}"/>
    <w:embedBold r:id="rId11" w:fontKey="{0B014A78-CABC-4EF0-12AC-5CD89AEFDE0B}"/>
    <w:embedItalic r:id="rId12" w:fontKey="{0C014A78-CABC-4EF0-12AC-5CD89AEFDE0C}"/>
    <w:embedBoldItalic r:id="rId13" w:fontKey="{0D014A78-CABC-4EF0-12AC-5CD89AEFDE0D}"/>
  </w:font>
  <w:font w:name="Arial">
    <w:charset w:val="ee" w:characterSet="windows-1250"/>
    <w:family w:val="roman"/>
    <w:pitch w:val="variable"/>
  </w:font>
  <w:font w:name="Liberation Sans">
    <w:altName w:val="Arial"/>
    <w:charset w:val="ee" w:characterSet="windows-1250"/>
    <w:family w:val="swiss"/>
    <w:pitch w:val="variable"/>
    <w:embedRegular r:id="rId14" w:fontKey="{0E014A78-CABC-4EF0-12AC-5CD89AEFDE0E}"/>
    <w:embedBold r:id="rId15" w:fontKey="{0F014A78-CABC-4EF0-12AC-5CD89AEFDE0F}"/>
    <w:embedItalic r:id="rId16" w:fontKey="{10014A78-CABC-4EF0-12AC-5CD89AEFDE10}"/>
    <w:embedBoldItalic r:id="rId17" w:fontKey="{11014A78-CABC-4EF0-12AC-5CD89AEFDE11}"/>
  </w:font>
  <w:font w:name="Times New Roman">
    <w:charset w:val="ee" w:characterSet="windows-1250"/>
    <w:family w:val="roman"/>
    <w:pitch w:val="variable"/>
    <w:embedRegular r:id="rId1" w:fontKey="{01014A78-CABC-4EF0-12AC-5CD89AEFDE01}"/>
    <w:embedBold r:id="rId2" w:fontKey="{02014A78-CABC-4EF0-12AC-5CD89AEFDE02}"/>
    <w:embedItalic r:id="rId3" w:fontKey="{03014A78-CABC-4EF0-12AC-5CD89AEFDE03}"/>
    <w:embedBoldItalic r:id="rId4" w:fontKey="{04014A78-CABC-4EF0-12AC-5CD89AEFDE04}"/>
  </w:font>
</w:fonts>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1"/>
      <w:tabs>
        <w:tab w:val="clear" w:pos="720"/>
        <w:tab w:val="right" w:pos="-1985" w:leader="none"/>
        <w:tab w:val="center" w:pos="-1843" w:leader="none"/>
        <w:tab w:val="left" w:pos="2835" w:leader="none"/>
        <w:tab w:val="center" w:pos="4536" w:leader="none"/>
        <w:tab w:val="right" w:pos="9072" w:leader="none"/>
        <w:tab w:val="right" w:pos="9498" w:leader="none"/>
      </w:tabs>
      <w:spacing w:lineRule="auto" w:line="240"/>
      <w:rPr>
        <w:rFonts w:ascii="Times New Roman" w:hAnsi="Times New Roman" w:eastAsia="Times New Roman" w:cs="Times New Roman"/>
        <w:b/>
        <w:bCs/>
        <w:sz w:val="20"/>
        <w:szCs w:val="20"/>
      </w:rPr>
    </w:pPr>
    <w:r>
      <w:rPr>
        <w:rFonts w:eastAsia="Times New Roman" w:cs="Times New Roman" w:ascii="Times New Roman" w:hAnsi="Times New Roman"/>
        <w:b/>
        <w:bCs/>
        <w:sz w:val="20"/>
        <w:szCs w:val="20"/>
      </w:rPr>
      <w:t>Vykonávací projekt</w:t>
    </w:r>
  </w:p>
  <w:p>
    <w:pPr>
      <w:pStyle w:val="normal1"/>
      <w:pBdr>
        <w:top w:val="single" w:sz="18" w:space="1" w:color="000000"/>
      </w:pBdr>
      <w:tabs>
        <w:tab w:val="clear" w:pos="720"/>
        <w:tab w:val="right" w:pos="-1701" w:leader="none"/>
        <w:tab w:val="right" w:pos="-1560" w:leader="none"/>
        <w:tab w:val="left" w:pos="142" w:leader="none"/>
        <w:tab w:val="center" w:pos="4536" w:leader="none"/>
        <w:tab w:val="right" w:pos="9072" w:leader="none"/>
        <w:tab w:val="right" w:pos="9498" w:leader="none"/>
      </w:tabs>
      <w:spacing w:lineRule="auto" w:line="240"/>
      <w:jc w:val="both"/>
      <w:rPr>
        <w:rFonts w:ascii="Times New Roman" w:hAnsi="Times New Roman" w:eastAsia="Times New Roman" w:cs="Times New Roman"/>
        <w:b/>
        <w:bCs/>
        <w:sz w:val="20"/>
        <w:szCs w:val="20"/>
      </w:rPr>
    </w:pPr>
    <w:r>
      <w:rPr>
        <w:rFonts w:eastAsia="Times New Roman" w:cs="Times New Roman" w:ascii="Times New Roman" w:hAnsi="Times New Roman"/>
        <w:b/>
        <w:bCs/>
        <w:sz w:val="20"/>
        <w:szCs w:val="20"/>
      </w:rPr>
      <w:t>Názov stavby : Skatepark Mládežnícka - Trenčín</w:t>
    </w:r>
  </w:p>
  <w:p>
    <w:pPr>
      <w:pStyle w:val="normal1"/>
      <w:pBdr>
        <w:top w:val="single" w:sz="18" w:space="1" w:color="000000"/>
      </w:pBdr>
      <w:tabs>
        <w:tab w:val="clear" w:pos="720"/>
        <w:tab w:val="right" w:pos="-1701" w:leader="none"/>
        <w:tab w:val="right" w:pos="-1560" w:leader="none"/>
        <w:tab w:val="left" w:pos="142" w:leader="none"/>
        <w:tab w:val="center" w:pos="4536" w:leader="none"/>
        <w:tab w:val="right" w:pos="9072" w:leader="none"/>
        <w:tab w:val="right" w:pos="9498" w:leader="none"/>
      </w:tabs>
      <w:spacing w:lineRule="auto" w:line="240"/>
      <w:rPr>
        <w:rFonts w:ascii="Times New Roman" w:hAnsi="Times New Roman" w:eastAsia="Times New Roman" w:cs="Times New Roman"/>
        <w:b/>
        <w:bCs/>
        <w:sz w:val="20"/>
        <w:szCs w:val="20"/>
      </w:rPr>
    </w:pPr>
    <w:r>
      <w:rPr>
        <w:rFonts w:eastAsia="Times New Roman" w:cs="Times New Roman" w:ascii="Times New Roman" w:hAnsi="Times New Roman"/>
        <w:b/>
        <w:bCs/>
        <w:sz w:val="20"/>
        <w:szCs w:val="20"/>
      </w:rPr>
      <w:t>S</w:t>
    </w:r>
    <w:r>
      <w:rPr>
        <w:rFonts w:eastAsia="Times New Roman" w:cs="Times New Roman" w:ascii="Times New Roman" w:hAnsi="Times New Roman"/>
        <w:b/>
        <w:bCs/>
        <w:sz w:val="20"/>
        <w:szCs w:val="20"/>
      </w:rPr>
      <w:t>11</w:t>
    </w:r>
    <w:r>
      <w:rPr>
        <w:rFonts w:eastAsia="Times New Roman" w:cs="Times New Roman" w:ascii="Times New Roman" w:hAnsi="Times New Roman"/>
        <w:b/>
        <w:bCs/>
        <w:sz w:val="20"/>
        <w:szCs w:val="20"/>
      </w:rPr>
      <w:t xml:space="preserve"> - Príprava územia a búracie práce - Technická správa</w:t>
    </w:r>
  </w:p>
  <w:p>
    <w:pPr>
      <w:pStyle w:val="normal1"/>
      <w:rPr/>
    </w:pPr>
    <w:r>
      <w:rPr/>
    </w:r>
  </w:p>
</w:hdr>
</file>

<file path=word/header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1"/>
      <w:tabs>
        <w:tab w:val="clear" w:pos="720"/>
        <w:tab w:val="right" w:pos="-1985" w:leader="none"/>
        <w:tab w:val="center" w:pos="-1843" w:leader="none"/>
        <w:tab w:val="left" w:pos="2835" w:leader="none"/>
        <w:tab w:val="center" w:pos="4536" w:leader="none"/>
        <w:tab w:val="right" w:pos="9072" w:leader="none"/>
        <w:tab w:val="right" w:pos="9498" w:leader="none"/>
      </w:tabs>
      <w:spacing w:lineRule="auto" w:line="240"/>
      <w:rPr>
        <w:rFonts w:ascii="Times New Roman" w:hAnsi="Times New Roman" w:eastAsia="Times New Roman" w:cs="Times New Roman"/>
        <w:b/>
        <w:bCs/>
        <w:sz w:val="20"/>
        <w:szCs w:val="20"/>
      </w:rPr>
    </w:pPr>
    <w:r>
      <w:rPr>
        <w:rFonts w:eastAsia="Times New Roman" w:cs="Times New Roman" w:ascii="Times New Roman" w:hAnsi="Times New Roman"/>
        <w:b/>
        <w:bCs/>
        <w:sz w:val="20"/>
        <w:szCs w:val="20"/>
      </w:rPr>
      <w:t>Vykonávací projekt</w:t>
    </w:r>
  </w:p>
  <w:p>
    <w:pPr>
      <w:pStyle w:val="normal1"/>
      <w:pBdr>
        <w:top w:val="single" w:sz="18" w:space="1" w:color="000000"/>
      </w:pBdr>
      <w:tabs>
        <w:tab w:val="clear" w:pos="720"/>
        <w:tab w:val="right" w:pos="-1701" w:leader="none"/>
        <w:tab w:val="right" w:pos="-1560" w:leader="none"/>
        <w:tab w:val="left" w:pos="142" w:leader="none"/>
        <w:tab w:val="center" w:pos="4536" w:leader="none"/>
        <w:tab w:val="right" w:pos="9072" w:leader="none"/>
        <w:tab w:val="right" w:pos="9498" w:leader="none"/>
      </w:tabs>
      <w:spacing w:lineRule="auto" w:line="240"/>
      <w:jc w:val="both"/>
      <w:rPr>
        <w:rFonts w:ascii="Times New Roman" w:hAnsi="Times New Roman" w:eastAsia="Times New Roman" w:cs="Times New Roman"/>
        <w:b/>
        <w:bCs/>
        <w:sz w:val="20"/>
        <w:szCs w:val="20"/>
      </w:rPr>
    </w:pPr>
    <w:r>
      <w:rPr>
        <w:rFonts w:eastAsia="Times New Roman" w:cs="Times New Roman" w:ascii="Times New Roman" w:hAnsi="Times New Roman"/>
        <w:b/>
        <w:bCs/>
        <w:sz w:val="20"/>
        <w:szCs w:val="20"/>
      </w:rPr>
      <w:t>Názov stavby : Skatepark Mládežnícka - Trenčín</w:t>
    </w:r>
  </w:p>
  <w:p>
    <w:pPr>
      <w:pStyle w:val="normal1"/>
      <w:pBdr>
        <w:top w:val="single" w:sz="18" w:space="1" w:color="000000"/>
      </w:pBdr>
      <w:tabs>
        <w:tab w:val="clear" w:pos="720"/>
        <w:tab w:val="right" w:pos="-1701" w:leader="none"/>
        <w:tab w:val="right" w:pos="-1560" w:leader="none"/>
        <w:tab w:val="left" w:pos="142" w:leader="none"/>
        <w:tab w:val="center" w:pos="4536" w:leader="none"/>
        <w:tab w:val="right" w:pos="9072" w:leader="none"/>
        <w:tab w:val="right" w:pos="9498" w:leader="none"/>
      </w:tabs>
      <w:spacing w:lineRule="auto" w:line="240"/>
      <w:rPr>
        <w:rFonts w:ascii="Times New Roman" w:hAnsi="Times New Roman" w:eastAsia="Times New Roman" w:cs="Times New Roman"/>
        <w:b/>
        <w:bCs/>
        <w:sz w:val="20"/>
        <w:szCs w:val="20"/>
      </w:rPr>
    </w:pPr>
    <w:r>
      <w:rPr>
        <w:rFonts w:eastAsia="Times New Roman" w:cs="Times New Roman" w:ascii="Times New Roman" w:hAnsi="Times New Roman"/>
        <w:b/>
        <w:bCs/>
        <w:sz w:val="20"/>
        <w:szCs w:val="20"/>
      </w:rPr>
      <w:t>S</w:t>
    </w:r>
    <w:r>
      <w:rPr>
        <w:rFonts w:eastAsia="Times New Roman" w:cs="Times New Roman" w:ascii="Times New Roman" w:hAnsi="Times New Roman"/>
        <w:b/>
        <w:bCs/>
        <w:sz w:val="20"/>
        <w:szCs w:val="20"/>
      </w:rPr>
      <w:t>11</w:t>
    </w:r>
    <w:r>
      <w:rPr>
        <w:rFonts w:eastAsia="Times New Roman" w:cs="Times New Roman" w:ascii="Times New Roman" w:hAnsi="Times New Roman"/>
        <w:b/>
        <w:bCs/>
        <w:sz w:val="20"/>
        <w:szCs w:val="20"/>
      </w:rPr>
      <w:t xml:space="preserve"> - Príprava územia a búracie práce - Technická správa</w:t>
    </w:r>
  </w:p>
  <w:p>
    <w:pPr>
      <w:pStyle w:val="normal1"/>
      <w:rPr/>
    </w:pPr>
    <w:r>
      <w:rPr/>
    </w:r>
  </w:p>
</w:hdr>
</file>

<file path=word/settings.xml><?xml version="1.0" encoding="utf-8"?>
<w:settings xmlns:w="http://schemas.openxmlformats.org/wordprocessingml/2006/main">
  <w:zoom w:percent="100"/>
  <w:embedTrueTypeFonts/>
  <w:defaultTabStop w:val="720"/>
  <w:autoHyphenation w:val="true"/>
  <w:hyphenationZone w:val="0"/>
  <w:compat>
    <w:compatSetting w:name="compatibilityMode" w:uri="http://schemas.microsoft.com/office/word" w:val="15"/>
  </w:compat>
  <w:themeFontLang w:va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Arial" w:hAnsi="Arial" w:eastAsia="Arial" w:cs="Arial"/>
        <w:sz w:val="22"/>
        <w:szCs w:val="22"/>
        <w:lang w:val="sk-SK" w:eastAsia="zh-CN" w:bidi="hi-IN"/>
      </w:rPr>
    </w:rPrDefault>
    <w:pPrDefault>
      <w:pPr>
        <w:suppressAutoHyphens w:val="true"/>
      </w:pPr>
    </w:pPrDefault>
  </w:docDefaults>
  <w:style w:type="paragraph" w:styleId="Normal">
    <w:name w:val="Normal"/>
    <w:qFormat/>
    <w:pPr>
      <w:widowControl/>
      <w:bidi w:val="0"/>
      <w:spacing w:lineRule="auto" w:line="276" w:before="0" w:after="0"/>
      <w:jc w:val="start"/>
    </w:pPr>
    <w:rPr>
      <w:rFonts w:ascii="Arial" w:hAnsi="Arial" w:eastAsia="Arial" w:cs="Arial"/>
      <w:color w:val="auto"/>
      <w:kern w:val="0"/>
      <w:sz w:val="22"/>
      <w:szCs w:val="22"/>
      <w:lang w:val="sk-SK" w:eastAsia="zh-CN" w:bidi="hi-IN"/>
    </w:rPr>
  </w:style>
  <w:style w:type="paragraph" w:styleId="Heading1">
    <w:name w:val="heading 1"/>
    <w:basedOn w:val="normal1"/>
    <w:next w:val="normal1"/>
    <w:qFormat/>
    <w:pPr>
      <w:keepNext w:val="true"/>
      <w:keepLines/>
      <w:pageBreakBefore w:val="false"/>
      <w:spacing w:lineRule="auto" w:line="240" w:before="400" w:after="120"/>
    </w:pPr>
    <w:rPr>
      <w:sz w:val="40"/>
      <w:szCs w:val="40"/>
    </w:rPr>
  </w:style>
  <w:style w:type="paragraph" w:styleId="Heading2">
    <w:name w:val="heading 2"/>
    <w:basedOn w:val="normal1"/>
    <w:next w:val="normal1"/>
    <w:qFormat/>
    <w:pPr>
      <w:keepNext w:val="true"/>
      <w:keepLines/>
      <w:pageBreakBefore w:val="false"/>
      <w:spacing w:lineRule="auto" w:line="240" w:before="360" w:after="120"/>
    </w:pPr>
    <w:rPr>
      <w:b w:val="false"/>
      <w:bCs w:val="false"/>
      <w:sz w:val="32"/>
      <w:szCs w:val="32"/>
    </w:rPr>
  </w:style>
  <w:style w:type="paragraph" w:styleId="Heading3">
    <w:name w:val="heading 3"/>
    <w:basedOn w:val="normal1"/>
    <w:next w:val="normal1"/>
    <w:qFormat/>
    <w:pPr>
      <w:keepNext w:val="true"/>
      <w:keepLines/>
      <w:pageBreakBefore w:val="false"/>
      <w:spacing w:lineRule="auto" w:line="240" w:before="320" w:after="80"/>
    </w:pPr>
    <w:rPr>
      <w:b w:val="false"/>
      <w:bCs w:val="false"/>
      <w:color w:val="434343"/>
      <w:sz w:val="28"/>
      <w:szCs w:val="28"/>
    </w:rPr>
  </w:style>
  <w:style w:type="paragraph" w:styleId="Heading4">
    <w:name w:val="heading 4"/>
    <w:basedOn w:val="normal1"/>
    <w:next w:val="normal1"/>
    <w:qFormat/>
    <w:pPr>
      <w:keepNext w:val="true"/>
      <w:keepLines/>
      <w:pageBreakBefore w:val="false"/>
      <w:spacing w:lineRule="auto" w:line="240" w:before="280" w:after="80"/>
    </w:pPr>
    <w:rPr>
      <w:color w:val="666666"/>
      <w:sz w:val="24"/>
      <w:szCs w:val="24"/>
    </w:rPr>
  </w:style>
  <w:style w:type="paragraph" w:styleId="Heading5">
    <w:name w:val="heading 5"/>
    <w:basedOn w:val="normal1"/>
    <w:next w:val="normal1"/>
    <w:qFormat/>
    <w:pPr>
      <w:keepNext w:val="true"/>
      <w:keepLines/>
      <w:pageBreakBefore w:val="false"/>
      <w:spacing w:lineRule="auto" w:line="240" w:before="240" w:after="80"/>
    </w:pPr>
    <w:rPr>
      <w:color w:val="666666"/>
      <w:sz w:val="22"/>
      <w:szCs w:val="22"/>
    </w:rPr>
  </w:style>
  <w:style w:type="paragraph" w:styleId="Heading6">
    <w:name w:val="heading 6"/>
    <w:basedOn w:val="normal1"/>
    <w:next w:val="normal1"/>
    <w:qFormat/>
    <w:pPr>
      <w:keepNext w:val="true"/>
      <w:keepLines/>
      <w:pageBreakBefore w:val="false"/>
      <w:spacing w:lineRule="auto" w:line="240" w:before="240" w:after="80"/>
    </w:pPr>
    <w:rPr>
      <w:i/>
      <w:iCs/>
      <w:color w:val="666666"/>
      <w:sz w:val="22"/>
      <w:szCs w:val="22"/>
    </w:rPr>
  </w:style>
  <w:style w:type="character" w:styleId="Hyperlink">
    <w:name w:val="Hyperlink"/>
    <w:rPr>
      <w:color w:val="000080"/>
      <w:u w:val="single"/>
    </w:rPr>
  </w:style>
  <w:style w:type="paragraph" w:styleId="Nadpis">
    <w:name w:val="Nadpis"/>
    <w:basedOn w:val="Normal"/>
    <w:next w:val="BodyText"/>
    <w:qFormat/>
    <w:pPr>
      <w:keepNext w:val="true"/>
      <w:spacing w:before="240" w:after="120"/>
    </w:pPr>
    <w:rPr>
      <w:rFonts w:ascii="Liberation Sans" w:hAnsi="Liberation Sans" w:eastAsia="Microsoft YaHei" w:cs="Lucida Sans"/>
      <w:sz w:val="28"/>
      <w:szCs w:val="28"/>
    </w:rPr>
  </w:style>
  <w:style w:type="paragraph" w:styleId="BodyText">
    <w:name w:val="Body Text"/>
    <w:basedOn w:val="Normal"/>
    <w:pPr>
      <w:spacing w:lineRule="auto" w:line="276" w:before="0" w:after="140"/>
    </w:pPr>
    <w:rPr/>
  </w:style>
  <w:style w:type="paragraph" w:styleId="List">
    <w:name w:val="List"/>
    <w:basedOn w:val="BodyText"/>
    <w:pPr/>
    <w:rPr>
      <w:rFonts w:cs="Lucida Sans"/>
    </w:rPr>
  </w:style>
  <w:style w:type="paragraph" w:styleId="Caption">
    <w:name w:val="caption"/>
    <w:basedOn w:val="Normal"/>
    <w:qFormat/>
    <w:pPr>
      <w:suppressLineNumbers/>
      <w:spacing w:before="120" w:after="120"/>
    </w:pPr>
    <w:rPr>
      <w:rFonts w:cs="Lucida Sans"/>
      <w:i/>
      <w:iCs/>
      <w:sz w:val="24"/>
      <w:szCs w:val="24"/>
    </w:rPr>
  </w:style>
  <w:style w:type="paragraph" w:styleId="Register">
    <w:name w:val="Register"/>
    <w:basedOn w:val="Normal"/>
    <w:qFormat/>
    <w:pPr>
      <w:suppressLineNumbers/>
    </w:pPr>
    <w:rPr>
      <w:rFonts w:cs="Lucida Sans"/>
    </w:rPr>
  </w:style>
  <w:style w:type="paragraph" w:styleId="normal1" w:default="1">
    <w:name w:val="normal1"/>
    <w:qFormat/>
    <w:pPr>
      <w:widowControl/>
      <w:bidi w:val="0"/>
      <w:spacing w:lineRule="auto" w:line="276" w:before="0" w:after="0"/>
      <w:jc w:val="start"/>
    </w:pPr>
    <w:rPr>
      <w:rFonts w:ascii="Arial" w:hAnsi="Arial" w:eastAsia="Arial" w:cs="Arial"/>
      <w:color w:val="auto"/>
      <w:kern w:val="0"/>
      <w:sz w:val="22"/>
      <w:szCs w:val="22"/>
      <w:lang w:val="sk-SK" w:eastAsia="zh-CN" w:bidi="hi-IN"/>
    </w:rPr>
  </w:style>
  <w:style w:type="paragraph" w:styleId="Title">
    <w:name w:val="Title"/>
    <w:basedOn w:val="normal1"/>
    <w:next w:val="normal1"/>
    <w:qFormat/>
    <w:pPr>
      <w:keepNext w:val="true"/>
      <w:keepLines/>
      <w:pageBreakBefore w:val="false"/>
      <w:spacing w:lineRule="auto" w:line="240" w:before="0" w:after="60"/>
    </w:pPr>
    <w:rPr>
      <w:sz w:val="52"/>
      <w:szCs w:val="52"/>
    </w:rPr>
  </w:style>
  <w:style w:type="paragraph" w:styleId="Subtitle">
    <w:name w:val="Subtitle"/>
    <w:basedOn w:val="normal1"/>
    <w:next w:val="normal1"/>
    <w:qFormat/>
    <w:pPr>
      <w:keepNext w:val="true"/>
      <w:keepLines/>
      <w:pageBreakBefore w:val="false"/>
      <w:spacing w:lineRule="auto" w:line="240" w:before="0" w:after="320"/>
    </w:pPr>
    <w:rPr>
      <w:rFonts w:ascii="Arial" w:hAnsi="Arial" w:eastAsia="Arial" w:cs="Arial"/>
      <w:i w:val="false"/>
      <w:iCs w:val="false"/>
      <w:color w:val="666666"/>
      <w:sz w:val="30"/>
      <w:szCs w:val="30"/>
    </w:rPr>
  </w:style>
  <w:style w:type="paragraph" w:styleId="Hlavikaapta">
    <w:name w:val="Hlavička a päta"/>
    <w:basedOn w:val="Normal"/>
    <w:qFormat/>
    <w:pPr/>
    <w:rPr/>
  </w:style>
  <w:style w:type="paragraph" w:styleId="Header">
    <w:name w:val="header"/>
    <w:basedOn w:val="Hlavikaapta"/>
    <w:pPr/>
    <w:rPr/>
  </w:style>
  <w:style w:type="table" w:default="1" w:styleId="TableNormal">
    <w:name w:val="TableNormal"/>
    <w:tblPr>
      <w:tblCellMar>
        <w:top w:w="100" w:type="dxa"/>
        <w:left w:w="100" w:type="dxa"/>
        <w:bottom w:w="100" w:type="dxa"/>
        <w:right w:w="100"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yperlink" Target="https://www.google.com/maps/place//data=!4m2!3m1!1s0x4714a18b8e9b2869:0x73b35e5af1156b0c?sa=X&amp;ved=1t:8290&amp;ictx=111" TargetMode="External"/><Relationship Id="rId3" Type="http://schemas.openxmlformats.org/officeDocument/2006/relationships/header" Target="header1.xml"/><Relationship Id="rId4" Type="http://schemas.openxmlformats.org/officeDocument/2006/relationships/header" Target="header2.xml"/><Relationship Id="rId5" Type="http://schemas.openxmlformats.org/officeDocument/2006/relationships/header" Target="header3.xml"/><Relationship Id="rId6" Type="http://schemas.openxmlformats.org/officeDocument/2006/relationships/fontTable" Target="fontTable.xml"/><Relationship Id="rId7" Type="http://schemas.openxmlformats.org/officeDocument/2006/relationships/settings" Target="settings.xml"/><Relationship Id="rId8" Type="http://schemas.openxmlformats.org/officeDocument/2006/relationships/theme" Target="theme/theme1.xml"/>
</Relationships>
</file>

<file path=word/_rels/fontTable.xml.rels><?xml version="1.0" encoding="UTF-8"?>
<Relationships xmlns="http://schemas.openxmlformats.org/package/2006/relationships"><Relationship Id="rId1" Type="http://schemas.openxmlformats.org/officeDocument/2006/relationships/font" Target="fonts/font1.odttf"/><Relationship Id="rId2" Type="http://schemas.openxmlformats.org/officeDocument/2006/relationships/font" Target="fonts/font2.odttf"/><Relationship Id="rId3" Type="http://schemas.openxmlformats.org/officeDocument/2006/relationships/font" Target="fonts/font3.odttf"/><Relationship Id="rId4" Type="http://schemas.openxmlformats.org/officeDocument/2006/relationships/font" Target="fonts/font4.odttf"/><Relationship Id="rId5" Type="http://schemas.openxmlformats.org/officeDocument/2006/relationships/font" Target="fonts/font5.odttf"/><Relationship Id="rId6" Type="http://schemas.openxmlformats.org/officeDocument/2006/relationships/font" Target="fonts/font6.odttf"/><Relationship Id="rId7" Type="http://schemas.openxmlformats.org/officeDocument/2006/relationships/font" Target="fonts/font7.odttf"/><Relationship Id="rId8" Type="http://schemas.openxmlformats.org/officeDocument/2006/relationships/font" Target="fonts/font8.odttf"/><Relationship Id="rId9" Type="http://schemas.openxmlformats.org/officeDocument/2006/relationships/font" Target="fonts/font9.odttf"/><Relationship Id="rId10" Type="http://schemas.openxmlformats.org/officeDocument/2006/relationships/font" Target="fonts/font10.odttf"/><Relationship Id="rId11" Type="http://schemas.openxmlformats.org/officeDocument/2006/relationships/font" Target="fonts/font11.odttf"/><Relationship Id="rId12" Type="http://schemas.openxmlformats.org/officeDocument/2006/relationships/font" Target="fonts/font12.odttf"/><Relationship Id="rId13" Type="http://schemas.openxmlformats.org/officeDocument/2006/relationships/font" Target="fonts/font13.odttf"/><Relationship Id="rId14" Type="http://schemas.openxmlformats.org/officeDocument/2006/relationships/font" Target="fonts/font14.odttf"/><Relationship Id="rId15" Type="http://schemas.openxmlformats.org/officeDocument/2006/relationships/font" Target="fonts/font15.odttf"/><Relationship Id="rId16" Type="http://schemas.openxmlformats.org/officeDocument/2006/relationships/font" Target="fonts/font16.odttf"/><Relationship Id="rId17" Type="http://schemas.openxmlformats.org/officeDocument/2006/relationships/font" Target="fonts/font17.odttf"/>
</Relationships>
</file>

<file path=word/theme/theme1.xml><?xml version="1.0" encoding="utf-8"?>
<a:theme xmlns:a="http://schemas.openxmlformats.org/drawingml/2006/main" xmlns:r="http://schemas.openxmlformats.org/officeDocument/2006/relationships"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pitchFamily="0" charset="1"/>
        <a:ea typeface=""/>
        <a:cs typeface=""/>
      </a:majorFont>
      <a:minorFont>
        <a:latin typeface="Cambria" pitchFamily="0" charset="1"/>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l="0" t="0" r="0" b="0"/>
        </a:gradFill>
        <a:gradFill>
          <a:gsLst>
            <a:gs pos="0">
              <a:schemeClr val="phClr">
                <a:tint val="100000"/>
                <a:shade val="100000"/>
              </a:schemeClr>
            </a:gs>
            <a:gs pos="100000">
              <a:schemeClr val="phClr">
                <a:tint val="50000"/>
                <a:shade val="100000"/>
              </a:schemeClr>
            </a:gs>
          </a:gsLst>
          <a:lin ang="16200000" scaled="0"/>
          <a:tileRect l="0" t="0" r="0" b="0"/>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l="0" t="0" r="0" b="0"/>
        </a:gradFill>
        <a:gradFill>
          <a:gsLst>
            <a:gs pos="0">
              <a:schemeClr val="phClr">
                <a:tint val="80000"/>
              </a:schemeClr>
            </a:gs>
            <a:gs pos="100000">
              <a:schemeClr val="phClr">
                <a:shade val="30000"/>
              </a:schemeClr>
            </a:gs>
          </a:gsLst>
          <a:path path="circle">
            <a:fillToRect l="50000" t="50000" r="50000" b="50000"/>
          </a:path>
          <a:tileRect l="0" t="0" r="0" b="0"/>
        </a:gradFill>
      </a:bgFillStyleLst>
    </a:fmtScheme>
  </a:themeElements>
</a:theme>
</file>

<file path=docProps/app.xml><?xml version="1.0" encoding="utf-8"?>
<Properties xmlns="http://schemas.openxmlformats.org/officeDocument/2006/extended-properties" xmlns:vt="http://schemas.openxmlformats.org/officeDocument/2006/docPropsVTypes">
  <Template/>
  <TotalTime>0</TotalTime>
  <Application>LibreOffice/25.8.4.2$Windows_X86_64 LibreOffice_project/290daaa01b999472f0c7a3890eb6a550fd74c6df</Application>
  <AppVersion>15.0000</AppVersion>
  <Pages>2</Pages>
  <Words>548</Words>
  <Characters>3411</Characters>
  <CharactersWithSpaces>3940</CharactersWithSpaces>
  <Paragraphs>26</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dc:description/>
  <dc:language>sk-SK</dc:language>
  <cp:lastModifiedBy/>
  <dcterms:modified xsi:type="dcterms:W3CDTF">2026-02-07T12:37:18Z</dcterms:modified>
  <cp:revision>1</cp:revision>
  <dc:subject/>
  <dc:title/>
</cp:coreProperties>
</file>