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9B7F3F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56015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4BB2F77" w14:textId="77777777" w:rsidR="005F6DC3" w:rsidRDefault="005F6DC3" w:rsidP="005F6DC3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167CED">
        <w:rPr>
          <w:rFonts w:asciiTheme="minorHAnsi" w:hAnsiTheme="minorHAnsi" w:cstheme="minorHAnsi"/>
          <w:b/>
          <w:iCs/>
          <w:sz w:val="22"/>
          <w:szCs w:val="22"/>
        </w:rPr>
        <w:t>Schwendtov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proofErr w:type="spellEnd"/>
      <w:r w:rsidRPr="00167CED">
        <w:rPr>
          <w:rFonts w:asciiTheme="minorHAnsi" w:hAnsiTheme="minorHAnsi" w:cstheme="minorHAnsi"/>
          <w:b/>
          <w:iCs/>
          <w:sz w:val="22"/>
          <w:szCs w:val="22"/>
        </w:rPr>
        <w:t>, ekonomick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ředitelk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</w:p>
    <w:p w14:paraId="7C18C211" w14:textId="77777777" w:rsidR="005F6DC3" w:rsidRPr="00535DCC" w:rsidRDefault="005F6DC3" w:rsidP="005F6DC3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Marcela Schwendtová, ekonomická ředitelka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B8480E3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5F6DC3" w:rsidRPr="005F6DC3">
        <w:rPr>
          <w:rFonts w:asciiTheme="minorHAnsi" w:hAnsiTheme="minorHAnsi" w:cstheme="minorHAnsi"/>
          <w:b/>
          <w:bCs/>
          <w:sz w:val="22"/>
          <w:szCs w:val="22"/>
        </w:rPr>
        <w:t>dodávky vzduchových kompresorů pro AD.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34D1E668" w:rsidR="006C6053" w:rsidRDefault="005F6DC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 w:rsidR="006C605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C6053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6C6053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6C6053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35AC824D" w:rsidR="000B2A85" w:rsidRPr="006740B0" w:rsidRDefault="005F6DC3" w:rsidP="00757FDD">
      <w:pPr>
        <w:pStyle w:val="Zkladntext3"/>
        <w:tabs>
          <w:tab w:val="left" w:pos="5954"/>
        </w:tabs>
        <w:spacing w:after="0"/>
        <w:jc w:val="both"/>
      </w:pPr>
      <w:r w:rsidRPr="0005330C">
        <w:rPr>
          <w:rFonts w:asciiTheme="minorHAnsi" w:hAnsiTheme="minorHAnsi" w:cstheme="minorHAnsi"/>
          <w:bCs/>
          <w:iCs/>
          <w:sz w:val="22"/>
          <w:szCs w:val="22"/>
        </w:rPr>
        <w:t>ekonomická ředitelka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7E72" w14:textId="77777777" w:rsidR="00977DFD" w:rsidRDefault="00977DFD">
      <w:r>
        <w:separator/>
      </w:r>
    </w:p>
  </w:endnote>
  <w:endnote w:type="continuationSeparator" w:id="0">
    <w:p w14:paraId="58166C55" w14:textId="77777777" w:rsidR="00977DFD" w:rsidRDefault="0097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550DDF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56015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127B" w14:textId="77777777" w:rsidR="00977DFD" w:rsidRDefault="00977DFD">
      <w:r>
        <w:separator/>
      </w:r>
    </w:p>
  </w:footnote>
  <w:footnote w:type="continuationSeparator" w:id="0">
    <w:p w14:paraId="1B6C0AFF" w14:textId="77777777" w:rsidR="00977DFD" w:rsidRDefault="0097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5F6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273A2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658A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2B8E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156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DC3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0CC2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3A4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0A53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C664E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22AB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77DFD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2DA4"/>
    <w:rsid w:val="009F3661"/>
    <w:rsid w:val="009F38B6"/>
    <w:rsid w:val="009F4CD4"/>
    <w:rsid w:val="009F6AD1"/>
    <w:rsid w:val="00A01B24"/>
    <w:rsid w:val="00A02B95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0FA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010A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1C05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06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991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52</cp:revision>
  <cp:lastPrinted>2025-01-09T08:46:00Z</cp:lastPrinted>
  <dcterms:created xsi:type="dcterms:W3CDTF">2025-04-17T09:22:00Z</dcterms:created>
  <dcterms:modified xsi:type="dcterms:W3CDTF">2026-03-24T09:18:00Z</dcterms:modified>
</cp:coreProperties>
</file>