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proofErr w:type="spellStart"/>
      <w:r w:rsidRPr="00D32972">
        <w:rPr>
          <w:rFonts w:ascii="Tahoma" w:eastAsia="Times" w:hAnsi="Tahoma" w:cs="Tahoma"/>
          <w:sz w:val="22"/>
          <w:szCs w:val="22"/>
        </w:rPr>
        <w:t>pn</w:t>
      </w:r>
      <w:proofErr w:type="spellEnd"/>
      <w:r w:rsidRPr="00D32972">
        <w:rPr>
          <w:rFonts w:ascii="Tahoma" w:eastAsia="Times" w:hAnsi="Tahoma" w:cs="Tahoma"/>
          <w:sz w:val="22"/>
          <w:szCs w:val="22"/>
        </w:rPr>
        <w:t xml:space="preserve">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05DC24B5" w14:textId="11BA9584" w:rsidR="00304C7D" w:rsidRDefault="00D422A0" w:rsidP="004A6182">
      <w:pPr>
        <w:pStyle w:val="ARTartustawynprozporzdzenia"/>
        <w:keepNext/>
        <w:spacing w:line="240" w:lineRule="auto"/>
        <w:contextualSpacing/>
        <w:jc w:val="center"/>
        <w:rPr>
          <w:rFonts w:ascii="Tahoma" w:hAnsi="Tahoma" w:cs="Tahoma"/>
          <w:b/>
          <w:bCs/>
          <w:color w:val="10284D"/>
          <w:shd w:val="clear" w:color="auto" w:fill="FFFFFF"/>
        </w:rPr>
      </w:pPr>
      <w:r w:rsidRPr="00D422A0">
        <w:rPr>
          <w:rFonts w:ascii="Tahoma" w:hAnsi="Tahoma" w:cs="Tahoma"/>
          <w:b/>
          <w:bCs/>
          <w:color w:val="10284D"/>
          <w:shd w:val="clear" w:color="auto" w:fill="FFFFFF"/>
        </w:rPr>
        <w:t>Remont sali gimnastycznej wraz z dachem i daszkiem nad drzwiami wejściowymi z podjazdem dla osób niepełnosprawnych</w:t>
      </w:r>
    </w:p>
    <w:p w14:paraId="4DFF190E" w14:textId="77777777" w:rsidR="00982C01" w:rsidRDefault="00982C01" w:rsidP="004A6182">
      <w:pPr>
        <w:pStyle w:val="ARTartustawynprozporzdzenia"/>
        <w:keepNext/>
        <w:spacing w:line="240" w:lineRule="auto"/>
        <w:contextualSpacing/>
        <w:jc w:val="center"/>
        <w:rPr>
          <w:rFonts w:ascii="Tahoma" w:hAnsi="Tahoma" w:cs="Tahoma"/>
          <w:b/>
          <w:bCs/>
          <w:color w:val="10284D"/>
          <w:shd w:val="clear" w:color="auto" w:fill="FFFFFF"/>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Zamówienie prowadzone w oparciu o przepisy ustawy z dnia 11 września 2019 r. Prawo zamówień publicznych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xml:space="preserve">.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029769D8"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w:t>
      </w:r>
      <w:r w:rsidR="003F4D6E">
        <w:rPr>
          <w:rFonts w:ascii="Tahoma" w:eastAsia="Times New Roman" w:hAnsi="Tahoma" w:cs="Tahoma"/>
          <w:color w:val="000000"/>
          <w:sz w:val="22"/>
          <w:szCs w:val="22"/>
        </w:rPr>
        <w:t>2</w:t>
      </w:r>
      <w:r w:rsidR="00C06BE8" w:rsidRPr="0042200A">
        <w:rPr>
          <w:rFonts w:ascii="Tahoma" w:eastAsia="Times New Roman" w:hAnsi="Tahoma" w:cs="Tahoma"/>
          <w:color w:val="000000"/>
          <w:sz w:val="22"/>
          <w:szCs w:val="22"/>
        </w:rPr>
        <w:t>.</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16EC0FF3"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792C95EC" w14:textId="3E80733B"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p>
    <w:p w14:paraId="60D16B15" w14:textId="01043AA2"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 xml:space="preserve">Dyrektor </w:t>
      </w:r>
    </w:p>
    <w:p w14:paraId="1A4A15D9" w14:textId="109667DE"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Specjalnego Ośrodka Szkolno-Wychowawczego Nr 2 w Otwocku</w:t>
      </w:r>
    </w:p>
    <w:p w14:paraId="751B5CD4" w14:textId="68D624A4"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 xml:space="preserve">(-) Izabela </w:t>
      </w:r>
      <w:proofErr w:type="spellStart"/>
      <w:r>
        <w:rPr>
          <w:rFonts w:ascii="Tahoma" w:eastAsia="Times" w:hAnsi="Tahoma" w:cs="Tahoma"/>
          <w:b/>
          <w:bCs/>
          <w:sz w:val="22"/>
          <w:szCs w:val="22"/>
        </w:rPr>
        <w:t>Maszkiewicz</w:t>
      </w:r>
      <w:proofErr w:type="spellEnd"/>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593F744D" w14:textId="3390CABC" w:rsidR="00767698" w:rsidRPr="009C41F3" w:rsidRDefault="009C41F3" w:rsidP="00B411DD">
      <w:pPr>
        <w:pStyle w:val="ARTartustawynprozporzdzenia"/>
        <w:keepNext/>
        <w:spacing w:line="240" w:lineRule="auto"/>
        <w:ind w:firstLine="0"/>
        <w:contextualSpacing/>
        <w:jc w:val="center"/>
        <w:rPr>
          <w:rFonts w:ascii="Tahoma" w:eastAsia="Times" w:hAnsi="Tahoma" w:cs="Tahoma"/>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p>
    <w:p w14:paraId="15314C5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0"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1"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1"/>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05726072" w14:textId="692DCB27" w:rsidR="00E05591" w:rsidRDefault="00820AC2" w:rsidP="003F4D6E">
      <w:pPr>
        <w:pStyle w:val="NormalnyWeb"/>
        <w:shd w:val="clear" w:color="auto" w:fill="FFFFFF"/>
        <w:spacing w:before="0" w:beforeAutospacing="0" w:after="0" w:afterAutospacing="0"/>
        <w:contextualSpacing/>
        <w:jc w:val="both"/>
        <w:textAlignment w:val="baseline"/>
        <w:rPr>
          <w:rFonts w:ascii="Tahoma" w:eastAsiaTheme="minorHAnsi" w:hAnsi="Tahoma" w:cs="Tahoma"/>
          <w:b/>
          <w:bCs/>
          <w:color w:val="C00000"/>
          <w:sz w:val="22"/>
          <w:szCs w:val="22"/>
          <w:lang w:eastAsia="en-US"/>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r w:rsidR="003F4D6E">
        <w:t xml:space="preserve"> </w:t>
      </w:r>
      <w:hyperlink r:id="rId9" w:history="1">
        <w:r w:rsidR="003F4D6E" w:rsidRPr="00FB544B">
          <w:rPr>
            <w:rStyle w:val="Hipercze"/>
            <w:rFonts w:ascii="Tahoma" w:eastAsiaTheme="minorHAnsi" w:hAnsi="Tahoma" w:cs="Tahoma"/>
            <w:b/>
            <w:bCs/>
            <w:sz w:val="22"/>
            <w:szCs w:val="22"/>
            <w:lang w:eastAsia="en-US"/>
          </w:rPr>
          <w:t>https://www.glusiotwock.pl</w:t>
        </w:r>
      </w:hyperlink>
    </w:p>
    <w:p w14:paraId="58F166AA" w14:textId="77777777" w:rsidR="003F4D6E" w:rsidRPr="0042200A" w:rsidRDefault="003F4D6E" w:rsidP="0042200A">
      <w:pPr>
        <w:pStyle w:val="ARTartustawynprozporzdzenia"/>
        <w:keepNext/>
        <w:spacing w:line="240" w:lineRule="auto"/>
        <w:contextualSpacing/>
        <w:rPr>
          <w:rFonts w:ascii="Tahoma" w:eastAsiaTheme="minorHAnsi" w:hAnsi="Tahoma" w:cs="Tahoma"/>
          <w:b/>
          <w:bCs/>
          <w:color w:val="C00000"/>
          <w:sz w:val="22"/>
          <w:szCs w:val="22"/>
          <w:lang w:eastAsia="en-US"/>
        </w:rPr>
      </w:pPr>
    </w:p>
    <w:p w14:paraId="28D1FB35" w14:textId="77777777" w:rsidR="00EC1E2F" w:rsidRDefault="00EC1E2F" w:rsidP="00170A3A">
      <w:pPr>
        <w:pStyle w:val="ARTartustawynprozporzdzenia"/>
        <w:keepNext/>
        <w:spacing w:line="240" w:lineRule="auto"/>
        <w:ind w:left="993" w:firstLine="0"/>
        <w:contextualSpacing/>
      </w:pPr>
    </w:p>
    <w:p w14:paraId="19E7C003" w14:textId="77777777" w:rsidR="00462108" w:rsidRPr="00170A3A" w:rsidRDefault="00462108" w:rsidP="00170A3A">
      <w:pPr>
        <w:pStyle w:val="ARTartustawynprozporzdzenia"/>
        <w:keepNext/>
        <w:spacing w:line="240" w:lineRule="auto"/>
        <w:ind w:left="993" w:firstLine="0"/>
        <w:contextualSpacing/>
        <w:rPr>
          <w:rFonts w:ascii="Tahoma" w:eastAsiaTheme="minorHAnsi" w:hAnsi="Tahoma" w:cs="Tahoma"/>
          <w:color w:val="000000"/>
          <w:sz w:val="22"/>
          <w:szCs w:val="22"/>
          <w:lang w:eastAsia="en-US"/>
        </w:rPr>
      </w:pPr>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0"/>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0216037F" w14:textId="77777777" w:rsidR="00B411DD" w:rsidRDefault="00365579" w:rsidP="00B411DD">
      <w:pPr>
        <w:pStyle w:val="ARTartustawynprozporzdzenia"/>
        <w:keepNext/>
        <w:spacing w:line="240" w:lineRule="auto"/>
        <w:ind w:left="862" w:firstLine="0"/>
        <w:contextualSpacing/>
        <w:jc w:val="left"/>
        <w:rPr>
          <w:rFonts w:ascii="Tahoma" w:eastAsiaTheme="minorHAnsi" w:hAnsi="Tahoma" w:cs="Tahoma"/>
          <w:color w:val="000000"/>
          <w:sz w:val="22"/>
          <w:szCs w:val="22"/>
          <w:lang w:eastAsia="en-US"/>
        </w:rPr>
      </w:pPr>
      <w:r>
        <w:t xml:space="preserve">   </w:t>
      </w:r>
      <w:hyperlink r:id="rId10" w:history="1">
        <w:r w:rsidR="00BE75C0" w:rsidRPr="009205AA">
          <w:rPr>
            <w:rStyle w:val="Hipercze"/>
          </w:rPr>
          <w:t>https://josephine.proebiz.com/pl/tender/76194/summary</w:t>
        </w:r>
      </w:hyperlink>
      <w:r w:rsidR="00BE75C0">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B411DD">
        <w:rPr>
          <w:rFonts w:ascii="Tahoma" w:eastAsiaTheme="minorHAnsi" w:hAnsi="Tahoma" w:cs="Tahoma"/>
          <w:color w:val="000000"/>
          <w:sz w:val="22"/>
          <w:szCs w:val="22"/>
          <w:lang w:eastAsia="en-US"/>
        </w:rPr>
        <w:t xml:space="preserve">     </w:t>
      </w:r>
    </w:p>
    <w:p w14:paraId="6CCAA7B0" w14:textId="4C627D68" w:rsidR="0060708B" w:rsidRPr="00462108" w:rsidRDefault="00B411DD" w:rsidP="00B411DD">
      <w:pPr>
        <w:pStyle w:val="ARTartustawynprozporzdzenia"/>
        <w:keepNext/>
        <w:spacing w:line="240" w:lineRule="auto"/>
        <w:ind w:left="862" w:firstLine="0"/>
        <w:contextualSpacing/>
        <w:jc w:val="left"/>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w:t>
      </w:r>
      <w:proofErr w:type="spellStart"/>
      <w:r w:rsidR="00D871C6" w:rsidRPr="0042200A">
        <w:rPr>
          <w:rFonts w:ascii="Tahoma" w:eastAsia="Times" w:hAnsi="Tahoma" w:cs="Tahoma"/>
          <w:sz w:val="22"/>
          <w:szCs w:val="22"/>
        </w:rPr>
        <w:t>t.j</w:t>
      </w:r>
      <w:proofErr w:type="spellEnd"/>
      <w:r w:rsidR="00D871C6" w:rsidRPr="0042200A">
        <w:rPr>
          <w:rFonts w:ascii="Tahoma" w:eastAsia="Times" w:hAnsi="Tahoma" w:cs="Tahoma"/>
          <w:sz w:val="22"/>
          <w:szCs w:val="22"/>
        </w:rPr>
        <w:t>.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2"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2"/>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nie ograniczy liczby wykonawców,  których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W przypadku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 zaproszeniu do negocjacji wskaże miejsce, termin i sposób prowadzenia negocjacji, a także kryteria oceny ofert w ramach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wyznaczy termin na złożenie ofert dodatkowych z uwzględnieniem czasu potrzebnego na przygotowanie tych ofert, z tym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Wykonawca może złożyć ofertę dodatkową, która zawiera nowe propozycje w zakresie treści oferty podlegających ocenie w ramach kryteriów oceny ofert </w:t>
      </w:r>
      <w:r w:rsidRPr="0042200A">
        <w:rPr>
          <w:rFonts w:ascii="Tahoma" w:eastAsia="Times" w:hAnsi="Tahoma" w:cs="Tahoma"/>
          <w:sz w:val="22"/>
          <w:szCs w:val="22"/>
        </w:rPr>
        <w:lastRenderedPageBreak/>
        <w:t>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E253A46" w14:textId="0C48C64D" w:rsidR="00D422A0" w:rsidRPr="000C7EAC" w:rsidRDefault="008E3410" w:rsidP="000C7EAC">
      <w:pPr>
        <w:shd w:val="clear" w:color="auto" w:fill="FFFFFF"/>
        <w:spacing w:before="120" w:line="276" w:lineRule="auto"/>
        <w:ind w:left="284" w:hanging="284"/>
        <w:contextualSpacing/>
        <w:jc w:val="both"/>
        <w:rPr>
          <w:rFonts w:ascii="Tahoma" w:eastAsia="Times" w:hAnsi="Tahoma" w:cs="Tahoma"/>
          <w:sz w:val="22"/>
          <w:szCs w:val="22"/>
        </w:rPr>
      </w:pPr>
      <w:bookmarkStart w:id="3" w:name="_Hlk138355136"/>
      <w:r w:rsidRPr="00F51818">
        <w:rPr>
          <w:rFonts w:ascii="Tahoma" w:hAnsi="Tahoma" w:cs="Tahoma"/>
          <w:sz w:val="22"/>
          <w:szCs w:val="22"/>
        </w:rPr>
        <w:t>1.</w:t>
      </w:r>
      <w:r w:rsidRPr="0042200A">
        <w:rPr>
          <w:rFonts w:ascii="Tahoma" w:hAnsi="Tahoma" w:cs="Tahoma"/>
          <w:sz w:val="22"/>
          <w:szCs w:val="22"/>
        </w:rPr>
        <w:t xml:space="preserve"> </w:t>
      </w:r>
      <w:r w:rsidR="00B671DA" w:rsidRPr="000C7EAC">
        <w:rPr>
          <w:rFonts w:ascii="Tahoma" w:hAnsi="Tahoma" w:cs="Tahoma"/>
          <w:sz w:val="22"/>
          <w:szCs w:val="22"/>
        </w:rPr>
        <w:t xml:space="preserve">Przedmiotem zamówienia jest </w:t>
      </w:r>
      <w:r w:rsidR="008A09C6">
        <w:rPr>
          <w:rFonts w:ascii="Tahoma" w:hAnsi="Tahoma" w:cs="Tahoma"/>
          <w:sz w:val="22"/>
          <w:szCs w:val="22"/>
        </w:rPr>
        <w:t>„</w:t>
      </w:r>
      <w:r w:rsidR="00D422A0" w:rsidRPr="000C7EAC">
        <w:rPr>
          <w:rFonts w:ascii="Tahoma" w:hAnsi="Tahoma" w:cs="Tahoma"/>
          <w:color w:val="10284D"/>
          <w:sz w:val="22"/>
          <w:szCs w:val="22"/>
          <w:shd w:val="clear" w:color="auto" w:fill="FFFFFF"/>
        </w:rPr>
        <w:t>Remont sali gimnastycznej wraz z dachem i daszkiem nad drzwiami wejściowymi z podjazdem dla osób niepełnosprawnych</w:t>
      </w:r>
      <w:r w:rsidR="008A09C6">
        <w:rPr>
          <w:rFonts w:ascii="Tahoma" w:hAnsi="Tahoma" w:cs="Tahoma"/>
          <w:color w:val="10284D"/>
          <w:sz w:val="22"/>
          <w:szCs w:val="22"/>
          <w:shd w:val="clear" w:color="auto" w:fill="FFFFFF"/>
        </w:rPr>
        <w:t>”.</w:t>
      </w:r>
    </w:p>
    <w:p w14:paraId="24F4A582" w14:textId="6A4F4B15" w:rsidR="005E66B4" w:rsidRPr="000C7EAC" w:rsidRDefault="00685237"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      </w:t>
      </w:r>
      <w:r w:rsidR="005E66B4" w:rsidRPr="000C7EAC">
        <w:t xml:space="preserve"> </w:t>
      </w:r>
    </w:p>
    <w:p w14:paraId="42A12FFD" w14:textId="3FEF17BF"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F51818">
        <w:rPr>
          <w:rFonts w:ascii="Tahoma" w:eastAsia="Courier New" w:hAnsi="Tahoma" w:cs="Tahoma"/>
          <w:sz w:val="22"/>
          <w:szCs w:val="22"/>
        </w:rPr>
        <w:t>2</w:t>
      </w:r>
      <w:r w:rsidRPr="000C7EAC">
        <w:rPr>
          <w:rFonts w:ascii="Tahoma" w:eastAsia="Courier New" w:hAnsi="Tahoma" w:cs="Tahoma"/>
          <w:sz w:val="22"/>
          <w:szCs w:val="22"/>
        </w:rPr>
        <w:t xml:space="preserve">. </w:t>
      </w:r>
      <w:r w:rsidR="005E66B4" w:rsidRPr="000C7EAC">
        <w:rPr>
          <w:rFonts w:ascii="Tahoma" w:eastAsia="Courier New" w:hAnsi="Tahoma" w:cs="Tahoma"/>
          <w:sz w:val="22"/>
          <w:szCs w:val="22"/>
        </w:rPr>
        <w:t>Zakres prac obejmuje:</w:t>
      </w:r>
    </w:p>
    <w:p w14:paraId="3E6A0D07" w14:textId="6DDC0A4C" w:rsidR="000C7EAC" w:rsidRPr="000C7EAC" w:rsidRDefault="000C7EAC" w:rsidP="000C7EAC">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hAnsi="Tahoma" w:cs="Tahoma"/>
          <w:sz w:val="22"/>
          <w:szCs w:val="22"/>
        </w:rPr>
        <w:t>a) Roboty remontowe dachu nad salą gimnastycznej i daszku nad drzwiami wejściowymi z podjazdem dla osób niepełnosprawnych:</w:t>
      </w:r>
    </w:p>
    <w:p w14:paraId="05829D70" w14:textId="7CD17AC3"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roboty rozbiórkowe na dachu Sali gimnastycznej</w:t>
      </w:r>
      <w:r>
        <w:rPr>
          <w:rFonts w:ascii="Tahoma" w:eastAsia="Courier New" w:hAnsi="Tahoma" w:cs="Tahoma"/>
          <w:sz w:val="22"/>
          <w:szCs w:val="22"/>
        </w:rPr>
        <w:t>,</w:t>
      </w:r>
    </w:p>
    <w:p w14:paraId="7EDE87A2" w14:textId="0B5F9802"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roboty rozbiórkowe na daszku - wejście z podjazdem dla osób niepełnosprawnych</w:t>
      </w:r>
      <w:r>
        <w:rPr>
          <w:rFonts w:ascii="Tahoma" w:eastAsia="Courier New" w:hAnsi="Tahoma" w:cs="Tahoma"/>
          <w:sz w:val="22"/>
          <w:szCs w:val="22"/>
        </w:rPr>
        <w:t>,</w:t>
      </w:r>
    </w:p>
    <w:p w14:paraId="3A0649AA" w14:textId="6D57404B"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wykonanie nowych pokryć dachowych z papy termozgrzewalnej</w:t>
      </w:r>
      <w:r>
        <w:rPr>
          <w:rFonts w:ascii="Tahoma" w:eastAsia="Courier New" w:hAnsi="Tahoma" w:cs="Tahoma"/>
          <w:sz w:val="22"/>
          <w:szCs w:val="22"/>
        </w:rPr>
        <w:t>,</w:t>
      </w:r>
    </w:p>
    <w:p w14:paraId="1E44C352" w14:textId="43DD8A42"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odtworzenie instalacji odgromowej</w:t>
      </w:r>
      <w:r>
        <w:rPr>
          <w:rFonts w:ascii="Tahoma" w:eastAsia="Courier New" w:hAnsi="Tahoma" w:cs="Tahoma"/>
          <w:sz w:val="22"/>
          <w:szCs w:val="22"/>
        </w:rPr>
        <w:t>,</w:t>
      </w:r>
    </w:p>
    <w:p w14:paraId="3CBADC72" w14:textId="3E32687B"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b) </w:t>
      </w:r>
      <w:r w:rsidR="005E66B4" w:rsidRPr="000C7EAC">
        <w:rPr>
          <w:rFonts w:ascii="Tahoma" w:eastAsia="Courier New" w:hAnsi="Tahoma" w:cs="Tahoma"/>
          <w:sz w:val="22"/>
          <w:szCs w:val="22"/>
        </w:rPr>
        <w:t>demontaż i montaż elementów przytwierdzonych do ścian i sufitu na Sali gimnastycznej</w:t>
      </w:r>
    </w:p>
    <w:p w14:paraId="67A7CB97" w14:textId="1D760773"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c)</w:t>
      </w:r>
      <w:r w:rsidR="005E66B4" w:rsidRPr="000C7EAC">
        <w:rPr>
          <w:rFonts w:ascii="Tahoma" w:eastAsia="Courier New" w:hAnsi="Tahoma" w:cs="Tahoma"/>
          <w:sz w:val="22"/>
          <w:szCs w:val="22"/>
        </w:rPr>
        <w:t xml:space="preserve"> malowanie Sali gimnastycznej i drabinek</w:t>
      </w:r>
      <w:r>
        <w:rPr>
          <w:rFonts w:ascii="Tahoma" w:eastAsia="Courier New" w:hAnsi="Tahoma" w:cs="Tahoma"/>
          <w:sz w:val="22"/>
          <w:szCs w:val="22"/>
        </w:rPr>
        <w:t>,</w:t>
      </w:r>
    </w:p>
    <w:p w14:paraId="0479EC9C" w14:textId="540884BE"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d) </w:t>
      </w:r>
      <w:r w:rsidR="005E66B4" w:rsidRPr="000C7EAC">
        <w:rPr>
          <w:rFonts w:ascii="Tahoma" w:eastAsia="Courier New" w:hAnsi="Tahoma" w:cs="Tahoma"/>
          <w:sz w:val="22"/>
          <w:szCs w:val="22"/>
        </w:rPr>
        <w:t>wymiana stolarki okiennej</w:t>
      </w:r>
      <w:r>
        <w:rPr>
          <w:rFonts w:ascii="Tahoma" w:eastAsia="Courier New" w:hAnsi="Tahoma" w:cs="Tahoma"/>
          <w:sz w:val="22"/>
          <w:szCs w:val="22"/>
        </w:rPr>
        <w:t>,</w:t>
      </w:r>
    </w:p>
    <w:p w14:paraId="710360B9" w14:textId="539B0311" w:rsidR="00685237" w:rsidRPr="0042200A"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0C7EAC">
        <w:rPr>
          <w:rFonts w:ascii="Tahoma" w:eastAsia="Courier New" w:hAnsi="Tahoma" w:cs="Tahoma"/>
          <w:sz w:val="22"/>
          <w:szCs w:val="22"/>
        </w:rPr>
        <w:t xml:space="preserve">e) </w:t>
      </w:r>
      <w:r w:rsidR="005E66B4" w:rsidRPr="000C7EAC">
        <w:rPr>
          <w:rFonts w:ascii="Tahoma" w:eastAsia="Courier New" w:hAnsi="Tahoma" w:cs="Tahoma"/>
          <w:sz w:val="22"/>
          <w:szCs w:val="22"/>
        </w:rPr>
        <w:t>wymiana stolarki drzwiowej</w:t>
      </w:r>
      <w:r>
        <w:rPr>
          <w:rFonts w:ascii="Tahoma" w:eastAsia="Courier New" w:hAnsi="Tahoma" w:cs="Tahoma"/>
          <w:sz w:val="22"/>
          <w:szCs w:val="22"/>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Roboty budowlane  realizowane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piątku  w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196EE6F3" w14:textId="02CAF6D2" w:rsidR="00E304EB" w:rsidRDefault="00E304EB" w:rsidP="00E304EB">
      <w:pPr>
        <w:shd w:val="clear" w:color="auto" w:fill="FFFFFF"/>
        <w:tabs>
          <w:tab w:val="left" w:pos="230"/>
        </w:tabs>
        <w:spacing w:before="120"/>
        <w:rPr>
          <w:rFonts w:ascii="Tahoma" w:eastAsiaTheme="minorHAnsi" w:hAnsi="Tahoma" w:cs="Tahoma"/>
          <w:b/>
          <w:bCs/>
          <w:sz w:val="22"/>
          <w:szCs w:val="22"/>
          <w:lang w:eastAsia="en-US"/>
        </w:rPr>
      </w:pPr>
      <w:r>
        <w:rPr>
          <w:rFonts w:ascii="Tahoma" w:eastAsiaTheme="minorHAnsi" w:hAnsi="Tahoma" w:cs="Tahoma"/>
          <w:b/>
          <w:bCs/>
          <w:sz w:val="22"/>
          <w:szCs w:val="22"/>
          <w:lang w:eastAsia="en-US"/>
        </w:rPr>
        <w:t>W trakcie trwania roku szkolnego Zamawiający przekaże Wykonawcy remontowane pomieszczeni</w:t>
      </w:r>
      <w:r w:rsidR="00E75E3B">
        <w:rPr>
          <w:rFonts w:ascii="Tahoma" w:eastAsiaTheme="minorHAnsi" w:hAnsi="Tahoma" w:cs="Tahoma"/>
          <w:b/>
          <w:bCs/>
          <w:sz w:val="22"/>
          <w:szCs w:val="22"/>
          <w:lang w:eastAsia="en-US"/>
        </w:rPr>
        <w:t>a</w:t>
      </w:r>
      <w:r>
        <w:rPr>
          <w:rFonts w:ascii="Tahoma" w:eastAsiaTheme="minorHAnsi" w:hAnsi="Tahoma" w:cs="Tahoma"/>
          <w:b/>
          <w:bCs/>
          <w:sz w:val="22"/>
          <w:szCs w:val="22"/>
          <w:lang w:eastAsia="en-US"/>
        </w:rPr>
        <w:t>, które nie będ</w:t>
      </w:r>
      <w:r w:rsidR="00E75E3B">
        <w:rPr>
          <w:rFonts w:ascii="Tahoma" w:eastAsiaTheme="minorHAnsi" w:hAnsi="Tahoma" w:cs="Tahoma"/>
          <w:b/>
          <w:bCs/>
          <w:sz w:val="22"/>
          <w:szCs w:val="22"/>
          <w:lang w:eastAsia="en-US"/>
        </w:rPr>
        <w:t>ą</w:t>
      </w:r>
      <w:r>
        <w:rPr>
          <w:rFonts w:ascii="Tahoma" w:eastAsiaTheme="minorHAnsi" w:hAnsi="Tahoma" w:cs="Tahoma"/>
          <w:b/>
          <w:bCs/>
          <w:sz w:val="22"/>
          <w:szCs w:val="22"/>
          <w:lang w:eastAsia="en-US"/>
        </w:rPr>
        <w:t xml:space="preserve"> dostępne dla użytkowników. Zamawiający dopuszcza prowadzenie robót  w czasie trwania zajęć pod </w:t>
      </w:r>
      <w:r>
        <w:rPr>
          <w:rFonts w:ascii="Tahoma" w:eastAsiaTheme="minorHAnsi" w:hAnsi="Tahoma" w:cs="Tahoma"/>
          <w:b/>
          <w:bCs/>
          <w:sz w:val="22"/>
          <w:szCs w:val="22"/>
          <w:lang w:eastAsia="en-US"/>
        </w:rPr>
        <w:lastRenderedPageBreak/>
        <w:t>warunkiem wcześniejszego ustalenia zakresu prac  z Wykonawcą z zastrzeżeniem jak wyżej.</w:t>
      </w:r>
    </w:p>
    <w:p w14:paraId="4BB622D3" w14:textId="77777777" w:rsidR="00E304EB" w:rsidRDefault="00E304EB" w:rsidP="00E304EB">
      <w:pPr>
        <w:shd w:val="clear" w:color="auto" w:fill="FFFFFF"/>
        <w:tabs>
          <w:tab w:val="left" w:pos="230"/>
        </w:tabs>
        <w:spacing w:before="120"/>
        <w:rPr>
          <w:rFonts w:ascii="Tahoma" w:eastAsiaTheme="minorHAnsi" w:hAnsi="Tahoma" w:cs="Tahoma"/>
          <w:b/>
          <w:bCs/>
          <w:sz w:val="22"/>
          <w:szCs w:val="22"/>
          <w:lang w:eastAsia="en-US"/>
        </w:rPr>
      </w:pPr>
    </w:p>
    <w:p w14:paraId="74FDB362" w14:textId="25B989A8" w:rsidR="002B68C6" w:rsidRPr="00E75E3B" w:rsidRDefault="00E304EB" w:rsidP="006D237E">
      <w:pPr>
        <w:overflowPunct/>
        <w:autoSpaceDE/>
        <w:autoSpaceDN/>
        <w:adjustRightInd/>
        <w:spacing w:after="160"/>
        <w:jc w:val="both"/>
        <w:textAlignment w:val="auto"/>
        <w:rPr>
          <w:rFonts w:ascii="Tahoma" w:hAnsi="Tahoma" w:cs="Tahoma"/>
          <w:sz w:val="22"/>
          <w:szCs w:val="22"/>
        </w:rPr>
      </w:pPr>
      <w:r w:rsidRPr="00E75E3B">
        <w:rPr>
          <w:rFonts w:ascii="Tahoma" w:eastAsiaTheme="minorHAnsi" w:hAnsi="Tahoma" w:cs="Tahoma"/>
          <w:sz w:val="22"/>
          <w:szCs w:val="22"/>
          <w:lang w:eastAsia="en-US"/>
        </w:rPr>
        <w:t>3</w:t>
      </w:r>
      <w:r w:rsidR="00667683" w:rsidRPr="00E75E3B">
        <w:rPr>
          <w:rFonts w:ascii="Tahoma" w:eastAsiaTheme="minorHAnsi" w:hAnsi="Tahoma" w:cs="Tahoma"/>
          <w:color w:val="000000"/>
          <w:sz w:val="22"/>
          <w:szCs w:val="22"/>
          <w:lang w:eastAsia="en-US"/>
        </w:rPr>
        <w:t xml:space="preserve">. Szczegółowy opis przedmiotu zamówienia określono w dokumentacji projektowej </w:t>
      </w:r>
      <w:r w:rsidR="0064714C" w:rsidRPr="00E75E3B">
        <w:rPr>
          <w:rFonts w:ascii="Tahoma" w:eastAsiaTheme="minorHAnsi" w:hAnsi="Tahoma" w:cs="Tahoma"/>
          <w:color w:val="000000"/>
          <w:sz w:val="22"/>
          <w:szCs w:val="22"/>
          <w:lang w:eastAsia="en-US"/>
        </w:rPr>
        <w:t>– zał</w:t>
      </w:r>
      <w:r w:rsidR="006D237E" w:rsidRPr="00E75E3B">
        <w:rPr>
          <w:rFonts w:ascii="Tahoma" w:eastAsiaTheme="minorHAnsi" w:hAnsi="Tahoma" w:cs="Tahoma"/>
          <w:color w:val="000000"/>
          <w:sz w:val="22"/>
          <w:szCs w:val="22"/>
          <w:lang w:eastAsia="en-US"/>
        </w:rPr>
        <w:t>.</w:t>
      </w:r>
      <w:r w:rsidR="0064714C" w:rsidRPr="00E75E3B">
        <w:rPr>
          <w:rFonts w:ascii="Tahoma" w:eastAsiaTheme="minorHAnsi" w:hAnsi="Tahoma" w:cs="Tahoma"/>
          <w:color w:val="000000"/>
          <w:sz w:val="22"/>
          <w:szCs w:val="22"/>
          <w:lang w:eastAsia="en-US"/>
        </w:rPr>
        <w:t xml:space="preserve"> nr 1 </w:t>
      </w:r>
      <w:r w:rsidR="006D237E" w:rsidRPr="00E75E3B">
        <w:rPr>
          <w:rFonts w:ascii="Tahoma" w:eastAsiaTheme="minorHAnsi" w:hAnsi="Tahoma" w:cs="Tahoma"/>
          <w:color w:val="000000"/>
          <w:sz w:val="22"/>
          <w:szCs w:val="22"/>
          <w:lang w:eastAsia="en-US"/>
        </w:rPr>
        <w:t xml:space="preserve">do SWZ, </w:t>
      </w:r>
      <w:r w:rsidR="0064714C" w:rsidRPr="00E75E3B">
        <w:rPr>
          <w:rFonts w:ascii="Tahoma" w:hAnsi="Tahoma" w:cs="Tahoma"/>
          <w:sz w:val="22"/>
          <w:szCs w:val="22"/>
        </w:rPr>
        <w:t xml:space="preserve">w skład której wchodzą: </w:t>
      </w:r>
    </w:p>
    <w:p w14:paraId="5CBDD225" w14:textId="0D65FB99" w:rsidR="00F80607" w:rsidRPr="00E75E3B" w:rsidRDefault="00F80607" w:rsidP="0042200A">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1)</w:t>
      </w:r>
      <w:r w:rsidR="00805694" w:rsidRPr="00E75E3B">
        <w:rPr>
          <w:rFonts w:ascii="Tahoma" w:hAnsi="Tahoma" w:cs="Tahoma"/>
          <w:sz w:val="22"/>
          <w:szCs w:val="22"/>
        </w:rPr>
        <w:t xml:space="preserve"> </w:t>
      </w:r>
      <w:r w:rsidRPr="00E75E3B">
        <w:rPr>
          <w:rFonts w:ascii="Tahoma" w:hAnsi="Tahoma" w:cs="Tahoma"/>
          <w:sz w:val="22"/>
          <w:szCs w:val="22"/>
        </w:rPr>
        <w:t>Charakterystyka i założenia do kosztorysów;</w:t>
      </w:r>
    </w:p>
    <w:p w14:paraId="2930972E" w14:textId="6DB46313" w:rsidR="002B68C6" w:rsidRPr="00E75E3B" w:rsidRDefault="00D93A19" w:rsidP="0042200A">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2</w:t>
      </w:r>
      <w:r w:rsidR="0064714C" w:rsidRPr="00E75E3B">
        <w:rPr>
          <w:rFonts w:ascii="Tahoma" w:hAnsi="Tahoma" w:cs="Tahoma"/>
          <w:sz w:val="22"/>
          <w:szCs w:val="22"/>
        </w:rPr>
        <w:t xml:space="preserve">) Projekt </w:t>
      </w:r>
    </w:p>
    <w:p w14:paraId="7CED7DF6" w14:textId="73AEDBC0" w:rsidR="00571EBE" w:rsidRPr="00E75E3B" w:rsidRDefault="00D93A19" w:rsidP="000954D7">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3</w:t>
      </w:r>
      <w:r w:rsidR="00571EBE" w:rsidRPr="00E75E3B">
        <w:rPr>
          <w:rFonts w:ascii="Tahoma" w:hAnsi="Tahoma" w:cs="Tahoma"/>
          <w:sz w:val="22"/>
          <w:szCs w:val="22"/>
        </w:rPr>
        <w:t>)</w:t>
      </w:r>
      <w:r w:rsidR="00557537" w:rsidRPr="00E75E3B">
        <w:rPr>
          <w:rFonts w:ascii="Tahoma" w:hAnsi="Tahoma" w:cs="Tahoma"/>
          <w:sz w:val="22"/>
          <w:szCs w:val="22"/>
        </w:rPr>
        <w:t xml:space="preserve"> </w:t>
      </w:r>
      <w:r w:rsidR="00571EBE" w:rsidRPr="00E75E3B">
        <w:rPr>
          <w:rFonts w:ascii="Tahoma" w:hAnsi="Tahoma" w:cs="Tahoma"/>
          <w:sz w:val="22"/>
          <w:szCs w:val="22"/>
        </w:rPr>
        <w:t>STWIORB</w:t>
      </w:r>
    </w:p>
    <w:p w14:paraId="4BAA12CC" w14:textId="314722E1" w:rsidR="0064714C" w:rsidRPr="00E75E3B"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E75E3B">
        <w:rPr>
          <w:rFonts w:ascii="Tahoma" w:hAnsi="Tahoma" w:cs="Tahoma"/>
          <w:sz w:val="22"/>
          <w:szCs w:val="22"/>
        </w:rPr>
        <w:t>4</w:t>
      </w:r>
      <w:r w:rsidR="006C1767" w:rsidRPr="00E75E3B">
        <w:rPr>
          <w:rFonts w:ascii="Tahoma" w:hAnsi="Tahoma" w:cs="Tahoma"/>
          <w:sz w:val="22"/>
          <w:szCs w:val="22"/>
        </w:rPr>
        <w:t xml:space="preserve">) przedmiar robót </w:t>
      </w:r>
      <w:r w:rsidR="00AB5D5E" w:rsidRPr="00E75E3B">
        <w:rPr>
          <w:rFonts w:ascii="Tahoma" w:hAnsi="Tahoma" w:cs="Tahoma"/>
          <w:sz w:val="22"/>
          <w:szCs w:val="22"/>
        </w:rPr>
        <w:t>.</w:t>
      </w:r>
    </w:p>
    <w:p w14:paraId="3DDC3CFC" w14:textId="39E8C485" w:rsidR="00B671DA" w:rsidRPr="00E75E3B" w:rsidRDefault="00B671DA" w:rsidP="00667683">
      <w:pPr>
        <w:overflowPunct/>
        <w:autoSpaceDE/>
        <w:autoSpaceDN/>
        <w:adjustRightInd/>
        <w:spacing w:after="160"/>
        <w:jc w:val="both"/>
        <w:textAlignment w:val="auto"/>
        <w:rPr>
          <w:rFonts w:ascii="Tahoma" w:hAnsi="Tahoma" w:cs="Tahoma"/>
          <w:sz w:val="22"/>
          <w:szCs w:val="22"/>
        </w:rPr>
      </w:pPr>
      <w:r w:rsidRPr="00E75E3B">
        <w:rPr>
          <w:rFonts w:ascii="Tahoma" w:hAnsi="Tahoma" w:cs="Tahoma"/>
          <w:sz w:val="22"/>
          <w:szCs w:val="22"/>
        </w:rPr>
        <w:t>Uwaga: Załączon</w:t>
      </w:r>
      <w:r w:rsidR="00571EBE" w:rsidRPr="00E75E3B">
        <w:rPr>
          <w:rFonts w:ascii="Tahoma" w:hAnsi="Tahoma" w:cs="Tahoma"/>
          <w:sz w:val="22"/>
          <w:szCs w:val="22"/>
        </w:rPr>
        <w:t>y</w:t>
      </w:r>
      <w:r w:rsidRPr="00E75E3B">
        <w:rPr>
          <w:rFonts w:ascii="Tahoma" w:hAnsi="Tahoma" w:cs="Tahoma"/>
          <w:sz w:val="22"/>
          <w:szCs w:val="22"/>
        </w:rPr>
        <w:t xml:space="preserve"> przedmiar robót należy traktować wyłącznie jako materiały pomocnicze dla ustalenia ceny ryczałtowej zamówienia.</w:t>
      </w:r>
    </w:p>
    <w:p w14:paraId="1A27BED6" w14:textId="6E529AD9" w:rsidR="00646417" w:rsidRPr="00E75E3B" w:rsidRDefault="00E304EB" w:rsidP="00667683">
      <w:pPr>
        <w:overflowPunct/>
        <w:autoSpaceDE/>
        <w:autoSpaceDN/>
        <w:adjustRightInd/>
        <w:spacing w:after="160"/>
        <w:jc w:val="both"/>
        <w:textAlignment w:val="auto"/>
        <w:rPr>
          <w:rFonts w:ascii="Tahoma" w:hAnsi="Tahoma" w:cs="Tahoma"/>
          <w:sz w:val="22"/>
          <w:szCs w:val="22"/>
        </w:rPr>
      </w:pPr>
      <w:r w:rsidRPr="00E75E3B">
        <w:rPr>
          <w:rFonts w:ascii="Tahoma" w:hAnsi="Tahoma" w:cs="Tahoma"/>
          <w:sz w:val="22"/>
          <w:szCs w:val="22"/>
        </w:rPr>
        <w:t>4</w:t>
      </w:r>
      <w:r w:rsidR="00646417" w:rsidRPr="00E75E3B">
        <w:rPr>
          <w:rFonts w:ascii="Tahoma" w:hAnsi="Tahoma" w:cs="Tahoma"/>
          <w:sz w:val="22"/>
          <w:szCs w:val="22"/>
        </w:rPr>
        <w:t>.Wykonawca udzieli gwarancji i rękojmi na przedmiot zamówienia na okres min. 36 miesięcy</w:t>
      </w:r>
      <w:r w:rsidR="00D52E62" w:rsidRPr="00E75E3B">
        <w:rPr>
          <w:rFonts w:ascii="Tahoma" w:hAnsi="Tahoma" w:cs="Tahoma"/>
          <w:sz w:val="22"/>
          <w:szCs w:val="22"/>
        </w:rPr>
        <w:t>.</w:t>
      </w:r>
    </w:p>
    <w:bookmarkEnd w:id="3"/>
    <w:p w14:paraId="6DEB6F3B" w14:textId="43DA157A" w:rsidR="00667683" w:rsidRPr="0042200A" w:rsidRDefault="00E304EB"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E75E3B">
        <w:rPr>
          <w:rFonts w:ascii="Tahoma" w:eastAsiaTheme="minorHAnsi" w:hAnsi="Tahoma" w:cs="Tahoma"/>
          <w:color w:val="000000"/>
          <w:sz w:val="22"/>
          <w:szCs w:val="22"/>
          <w:lang w:eastAsia="en-US"/>
        </w:rPr>
        <w:t>5</w:t>
      </w:r>
      <w:r w:rsidR="00BF6841" w:rsidRPr="00E75E3B">
        <w:rPr>
          <w:rFonts w:ascii="Tahoma" w:eastAsiaTheme="minorHAnsi" w:hAnsi="Tahoma" w:cs="Tahoma"/>
          <w:color w:val="000000"/>
          <w:sz w:val="22"/>
          <w:szCs w:val="22"/>
          <w:lang w:eastAsia="en-US"/>
        </w:rPr>
        <w:t xml:space="preserve">. </w:t>
      </w:r>
      <w:r w:rsidR="00667683" w:rsidRPr="00E75E3B">
        <w:rPr>
          <w:rFonts w:ascii="Tahoma" w:eastAsiaTheme="minorHAnsi" w:hAnsi="Tahoma" w:cs="Tahoma"/>
          <w:color w:val="000000"/>
          <w:sz w:val="22"/>
          <w:szCs w:val="22"/>
          <w:lang w:eastAsia="en-US"/>
        </w:rPr>
        <w:t>Przedmiot</w:t>
      </w:r>
      <w:r w:rsidR="00667683" w:rsidRPr="0042200A">
        <w:rPr>
          <w:rFonts w:ascii="Tahoma" w:eastAsiaTheme="minorHAnsi" w:hAnsi="Tahoma" w:cs="Tahoma"/>
          <w:color w:val="000000"/>
          <w:sz w:val="22"/>
          <w:szCs w:val="22"/>
          <w:lang w:eastAsia="en-US"/>
        </w:rPr>
        <w:t xml:space="preserve">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D170AF" w:rsidRDefault="0003244C" w:rsidP="00A51CD8">
      <w:pPr>
        <w:ind w:left="426" w:right="28"/>
        <w:contextualSpacing/>
        <w:jc w:val="both"/>
        <w:rPr>
          <w:rFonts w:ascii="Tahoma" w:hAnsi="Tahoma" w:cs="Tahoma"/>
          <w:sz w:val="22"/>
          <w:szCs w:val="22"/>
        </w:rPr>
      </w:pPr>
      <w:r w:rsidRPr="00D170AF">
        <w:rPr>
          <w:rFonts w:ascii="Tahoma" w:hAnsi="Tahoma" w:cs="Tahoma"/>
          <w:sz w:val="22"/>
          <w:szCs w:val="22"/>
        </w:rPr>
        <w:t xml:space="preserve">CPV </w:t>
      </w:r>
      <w:r w:rsidR="003A6C36" w:rsidRPr="00D170AF">
        <w:rPr>
          <w:rFonts w:ascii="Tahoma" w:hAnsi="Tahoma" w:cs="Tahoma"/>
          <w:sz w:val="22"/>
          <w:szCs w:val="22"/>
        </w:rPr>
        <w:t xml:space="preserve">45214200-2 Roboty budowlane w zakresie budowy obiektów budowlanych związanych ze szkolnictwem </w:t>
      </w:r>
    </w:p>
    <w:p w14:paraId="488728DE" w14:textId="77777777" w:rsidR="003A6C36" w:rsidRPr="00D170AF" w:rsidRDefault="003A6C36" w:rsidP="003A6C36">
      <w:pPr>
        <w:ind w:right="28"/>
        <w:contextualSpacing/>
        <w:jc w:val="both"/>
        <w:rPr>
          <w:rFonts w:ascii="Tahoma" w:hAnsi="Tahoma" w:cs="Tahoma"/>
          <w:sz w:val="22"/>
          <w:szCs w:val="22"/>
        </w:rPr>
      </w:pPr>
    </w:p>
    <w:p w14:paraId="412AED45" w14:textId="77777777" w:rsidR="00916813" w:rsidRPr="00D170AF" w:rsidRDefault="00916813" w:rsidP="00916813">
      <w:pPr>
        <w:overflowPunct/>
        <w:autoSpaceDE/>
        <w:autoSpaceDN/>
        <w:adjustRightInd/>
        <w:spacing w:after="160"/>
        <w:textAlignment w:val="auto"/>
        <w:rPr>
          <w:rFonts w:ascii="Tahoma" w:hAnsi="Tahoma" w:cs="Tahoma"/>
          <w:bCs/>
          <w:sz w:val="22"/>
          <w:szCs w:val="22"/>
        </w:rPr>
      </w:pPr>
      <w:r w:rsidRPr="00D170AF">
        <w:rPr>
          <w:rFonts w:ascii="Tahoma" w:hAnsi="Tahoma" w:cs="Tahoma"/>
          <w:bCs/>
          <w:sz w:val="22"/>
          <w:szCs w:val="22"/>
        </w:rPr>
        <w:t>Dodatkowe przedmioty</w:t>
      </w:r>
    </w:p>
    <w:p w14:paraId="1492A431" w14:textId="44DF6D14"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45111300-1 Roboty rozbiórkowe;</w:t>
      </w:r>
    </w:p>
    <w:p w14:paraId="31ED5052" w14:textId="4A6867D7"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45453000-7 Roboty remontowe i renowacyjne;</w:t>
      </w:r>
    </w:p>
    <w:p w14:paraId="41618CC3" w14:textId="26A9383E"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45410000-4 Tynkowanie;</w:t>
      </w:r>
    </w:p>
    <w:p w14:paraId="0533E4B7" w14:textId="22647933"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45442100-8 Roboty malarskie;</w:t>
      </w:r>
    </w:p>
    <w:p w14:paraId="7B163A08" w14:textId="32BE9FCD" w:rsidR="000960C7" w:rsidRPr="00D170AF" w:rsidRDefault="000960C7" w:rsidP="00A51CD8">
      <w:pPr>
        <w:ind w:left="426" w:right="28"/>
        <w:contextualSpacing/>
        <w:rPr>
          <w:rFonts w:ascii="Tahoma" w:hAnsi="Tahoma" w:cs="Tahoma"/>
          <w:bCs/>
          <w:sz w:val="22"/>
          <w:szCs w:val="22"/>
        </w:rPr>
      </w:pPr>
      <w:r w:rsidRPr="00D170AF">
        <w:rPr>
          <w:rFonts w:ascii="Tahoma" w:hAnsi="Tahoma" w:cs="Tahoma"/>
          <w:sz w:val="22"/>
          <w:szCs w:val="22"/>
        </w:rPr>
        <w:t>CPV 44220000-8 Stolarka budowlana.</w:t>
      </w:r>
    </w:p>
    <w:p w14:paraId="74F9EB22" w14:textId="237A7BBE" w:rsidR="00D170AF" w:rsidRPr="00D170AF" w:rsidRDefault="00952F08" w:rsidP="00D170AF">
      <w:pPr>
        <w:ind w:right="28" w:firstLine="426"/>
        <w:contextualSpacing/>
        <w:rPr>
          <w:rFonts w:ascii="Tahoma" w:hAnsi="Tahoma" w:cs="Tahoma"/>
          <w:sz w:val="22"/>
          <w:szCs w:val="22"/>
        </w:rPr>
      </w:pPr>
      <w:r>
        <w:rPr>
          <w:rFonts w:ascii="Tahoma" w:hAnsi="Tahoma" w:cs="Tahoma"/>
          <w:sz w:val="22"/>
          <w:szCs w:val="22"/>
        </w:rPr>
        <w:t xml:space="preserve">CPV </w:t>
      </w:r>
      <w:r w:rsidR="00D170AF" w:rsidRPr="00D170AF">
        <w:rPr>
          <w:rFonts w:ascii="Tahoma" w:hAnsi="Tahoma" w:cs="Tahoma"/>
          <w:sz w:val="22"/>
          <w:szCs w:val="22"/>
        </w:rPr>
        <w:t xml:space="preserve">45261000-4 Wykonywanie pokryć i konstrukcji dachowych oraz podobne roboty </w:t>
      </w:r>
    </w:p>
    <w:p w14:paraId="2D9E4D25" w14:textId="2CE9E76A" w:rsidR="00D170AF" w:rsidRPr="00D170AF" w:rsidRDefault="00952F08" w:rsidP="00D170AF">
      <w:pPr>
        <w:ind w:right="28" w:firstLine="426"/>
        <w:contextualSpacing/>
        <w:rPr>
          <w:rFonts w:ascii="Tahoma" w:hAnsi="Tahoma" w:cs="Tahoma"/>
          <w:bCs/>
          <w:sz w:val="22"/>
          <w:szCs w:val="22"/>
        </w:rPr>
      </w:pPr>
      <w:r>
        <w:rPr>
          <w:rFonts w:ascii="Tahoma" w:hAnsi="Tahoma" w:cs="Tahoma"/>
          <w:sz w:val="22"/>
          <w:szCs w:val="22"/>
        </w:rPr>
        <w:t xml:space="preserve">CPV </w:t>
      </w:r>
      <w:r w:rsidR="00D170AF" w:rsidRPr="00D170AF">
        <w:rPr>
          <w:rFonts w:ascii="Tahoma" w:hAnsi="Tahoma" w:cs="Tahoma"/>
          <w:sz w:val="22"/>
          <w:szCs w:val="22"/>
        </w:rPr>
        <w:t xml:space="preserve">45261410-1 Izolowanie dachu </w:t>
      </w:r>
    </w:p>
    <w:p w14:paraId="4E46C912" w14:textId="77777777" w:rsidR="00D170AF" w:rsidRPr="0042200A" w:rsidRDefault="00D170AF"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 xml:space="preserve">7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systemów referencji technicznych, o których mowa w art. 101 ust. 1 pkt 2 i ust. </w:t>
      </w:r>
      <w:r w:rsidRPr="0042200A">
        <w:rPr>
          <w:rFonts w:ascii="Tahoma" w:hAnsi="Tahoma" w:cs="Tahoma"/>
          <w:sz w:val="22"/>
          <w:szCs w:val="22"/>
        </w:rPr>
        <w:lastRenderedPageBreak/>
        <w:t xml:space="preserve">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przypadku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Zamawiający wymaga złożenia wraz z ofertą przedmiotowych środków dowodowych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uzasadnia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4"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5" w:name="_Hlk146133641"/>
      <w:bookmarkStart w:id="6" w:name="_Hlk29729973"/>
      <w:bookmarkEnd w:id="4"/>
    </w:p>
    <w:p w14:paraId="167DF309" w14:textId="35013FE3" w:rsidR="00667683" w:rsidRPr="0042200A" w:rsidRDefault="00667683" w:rsidP="008C03F2">
      <w:pPr>
        <w:pStyle w:val="ARTartustawynprozporzdzenia"/>
        <w:keepNext/>
        <w:spacing w:line="240" w:lineRule="auto"/>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Zamawiający stosownie do przepisu art. 95 ust. 1 ustawy Pzp, wymaga, aby wszelkie prace fizyczne bezpośrednio związane z wykonywaniem wszystkich robót 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polegających </w:t>
      </w:r>
      <w:r w:rsidR="008C03F2" w:rsidRPr="008C03F2">
        <w:rPr>
          <w:rFonts w:ascii="Tahoma" w:hAnsi="Tahoma" w:cs="Tahoma"/>
          <w:color w:val="10284D"/>
          <w:shd w:val="clear" w:color="auto" w:fill="FFFFFF"/>
        </w:rPr>
        <w:t>Remoncie sali gimnastycznej wraz z dachem i daszkiem nad drzwiami wejściowymi z podjazdem dla osób niepełnosprawnych</w:t>
      </w:r>
      <w:r w:rsidR="008C03F2">
        <w:rPr>
          <w:rFonts w:ascii="Tahoma" w:hAnsi="Tahoma" w:cs="Tahoma"/>
          <w:color w:val="10284D"/>
          <w:shd w:val="clear" w:color="auto" w:fill="FFFFFF"/>
        </w:rPr>
        <w:t xml:space="preserve"> ,</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wynagrodzenie </w:t>
      </w:r>
      <w:r w:rsidRPr="0042200A">
        <w:rPr>
          <w:rFonts w:ascii="Tahoma" w:eastAsia="Bookman Old Style" w:hAnsi="Tahoma" w:cs="Tahoma"/>
          <w:color w:val="000000"/>
          <w:sz w:val="22"/>
          <w:szCs w:val="22"/>
        </w:rPr>
        <w:t>,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w:t>
      </w:r>
      <w:proofErr w:type="spellStart"/>
      <w:r w:rsidRPr="0042200A">
        <w:rPr>
          <w:rFonts w:ascii="Tahoma" w:eastAsia="Bookman Old Style" w:hAnsi="Tahoma" w:cs="Tahoma"/>
          <w:color w:val="000000"/>
          <w:sz w:val="22"/>
          <w:szCs w:val="22"/>
        </w:rPr>
        <w:t>późn</w:t>
      </w:r>
      <w:proofErr w:type="spellEnd"/>
      <w:r w:rsidRPr="0042200A">
        <w:rPr>
          <w:rFonts w:ascii="Tahoma" w:eastAsia="Bookman Old Style" w:hAnsi="Tahoma" w:cs="Tahoma"/>
          <w:color w:val="000000"/>
          <w:sz w:val="22"/>
          <w:szCs w:val="22"/>
        </w:rPr>
        <w:t>.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5"/>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7" w:name="_Hlk29729639"/>
            <w:bookmarkEnd w:id="6"/>
            <w:r w:rsidRPr="0042200A">
              <w:rPr>
                <w:rFonts w:ascii="Tahoma" w:hAnsi="Tahoma" w:cs="Tahoma"/>
                <w:b w:val="0"/>
                <w:bCs w:val="0"/>
                <w:sz w:val="22"/>
                <w:szCs w:val="22"/>
              </w:rPr>
              <w:br w:type="page"/>
            </w:r>
            <w:bookmarkStart w:id="8" w:name="_Hlk138367875"/>
            <w:r w:rsidRPr="0042200A">
              <w:rPr>
                <w:rFonts w:ascii="Tahoma" w:hAnsi="Tahoma" w:cs="Tahoma"/>
                <w:sz w:val="22"/>
                <w:szCs w:val="22"/>
              </w:rPr>
              <w:t>TERMIN WYKONANIA ZAMÓWIENIA</w:t>
            </w:r>
            <w:bookmarkEnd w:id="8"/>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CD3C27D" w14:textId="5B054A62" w:rsidR="00667683" w:rsidRPr="0042200A" w:rsidRDefault="00F551CA"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 xml:space="preserve">Zamawiający wymaga wykonania zamówienia w </w:t>
      </w:r>
      <w:r w:rsidR="0019146A" w:rsidRPr="0042200A">
        <w:rPr>
          <w:rFonts w:ascii="Tahoma" w:eastAsiaTheme="minorHAnsi" w:hAnsi="Tahoma" w:cs="Tahoma"/>
          <w:color w:val="000000"/>
          <w:sz w:val="22"/>
          <w:szCs w:val="22"/>
          <w:lang w:eastAsia="en-US"/>
        </w:rPr>
        <w:t xml:space="preserve">terminie </w:t>
      </w:r>
      <w:r w:rsidR="00F769D5" w:rsidRPr="0042200A">
        <w:rPr>
          <w:rFonts w:ascii="Tahoma" w:eastAsiaTheme="minorHAnsi" w:hAnsi="Tahoma" w:cs="Tahoma"/>
          <w:sz w:val="22"/>
          <w:szCs w:val="22"/>
          <w:lang w:eastAsia="en-US"/>
        </w:rPr>
        <w:t xml:space="preserve"> </w:t>
      </w:r>
      <w:r w:rsidR="00C06BE8" w:rsidRPr="0042200A">
        <w:rPr>
          <w:rFonts w:ascii="Tahoma" w:eastAsiaTheme="minorHAnsi" w:hAnsi="Tahoma" w:cs="Tahoma"/>
          <w:sz w:val="22"/>
          <w:szCs w:val="22"/>
          <w:lang w:eastAsia="en-US"/>
        </w:rPr>
        <w:t xml:space="preserve">5 </w:t>
      </w:r>
      <w:r w:rsidR="001C0FC8" w:rsidRPr="0042200A">
        <w:rPr>
          <w:rFonts w:ascii="Tahoma" w:eastAsiaTheme="minorHAnsi" w:hAnsi="Tahoma" w:cs="Tahoma"/>
          <w:sz w:val="22"/>
          <w:szCs w:val="22"/>
          <w:lang w:eastAsia="en-US"/>
        </w:rPr>
        <w:t>miesi</w:t>
      </w:r>
      <w:r w:rsidR="00C2137F" w:rsidRPr="0042200A">
        <w:rPr>
          <w:rFonts w:ascii="Tahoma" w:eastAsiaTheme="minorHAnsi" w:hAnsi="Tahoma" w:cs="Tahoma"/>
          <w:sz w:val="22"/>
          <w:szCs w:val="22"/>
          <w:lang w:eastAsia="en-US"/>
        </w:rPr>
        <w:t xml:space="preserve">ęcy </w:t>
      </w:r>
      <w:bookmarkEnd w:id="7"/>
      <w:r w:rsidR="0048590C" w:rsidRPr="0042200A">
        <w:rPr>
          <w:rFonts w:ascii="Tahoma" w:eastAsiaTheme="minorHAnsi" w:hAnsi="Tahoma" w:cs="Tahoma"/>
          <w:color w:val="000000"/>
          <w:sz w:val="22"/>
          <w:szCs w:val="22"/>
          <w:lang w:eastAsia="en-US"/>
        </w:rPr>
        <w:t>od podpisania umowy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228–230a, art. 250a Kodeksu karnego, w art. 46–48 ustawy z dnia 25 czerwca 2010 r. o sporcie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 1599) lub w art. 54 ust. 1–4 ustawy z dnia 12 maja 2011 r. o refundacji leków, środków spożywczych specjalnego przeznaczenia żywieniowego oraz wyrobów medycznych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xml:space="preserve">. Dz. U. z 2022 </w:t>
      </w:r>
      <w:r w:rsidRPr="0042200A">
        <w:rPr>
          <w:rFonts w:ascii="Tahoma" w:eastAsia="Calibri" w:hAnsi="Tahoma" w:cs="Tahoma"/>
          <w:sz w:val="22"/>
          <w:szCs w:val="22"/>
          <w:lang w:eastAsia="en-US"/>
        </w:rPr>
        <w:lastRenderedPageBreak/>
        <w:t>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lastRenderedPageBreak/>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9" w:name="_Hlk29730231"/>
    </w:p>
    <w:bookmarkEnd w:id="9"/>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co doprowadziło  do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5 </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0"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0"/>
      <w:r w:rsidR="00D25286" w:rsidRPr="0042200A">
        <w:rPr>
          <w:rFonts w:ascii="Tahoma" w:eastAsiaTheme="minorHAnsi" w:hAnsi="Tahoma" w:cs="Tahoma"/>
          <w:sz w:val="22"/>
          <w:szCs w:val="22"/>
          <w:lang w:eastAsia="en-US"/>
        </w:rPr>
        <w:t xml:space="preserve"> </w:t>
      </w:r>
    </w:p>
    <w:p w14:paraId="23539821" w14:textId="4256DED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1"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w:t>
      </w:r>
      <w:r w:rsidRPr="00E636F7">
        <w:rPr>
          <w:rFonts w:ascii="Tahoma" w:eastAsiaTheme="minorHAnsi" w:hAnsi="Tahoma" w:cs="Tahoma"/>
          <w:color w:val="000000" w:themeColor="text1"/>
          <w:sz w:val="22"/>
          <w:szCs w:val="22"/>
          <w:lang w:eastAsia="en-US"/>
        </w:rPr>
        <w:t xml:space="preserve">polegające na budowie, przebudowie lub remoncie budynku obejmujące co najmniej </w:t>
      </w:r>
      <w:r w:rsidR="003565E2" w:rsidRPr="00E636F7">
        <w:rPr>
          <w:rFonts w:ascii="Tahoma" w:eastAsiaTheme="minorHAnsi" w:hAnsi="Tahoma" w:cs="Tahoma"/>
          <w:color w:val="000000" w:themeColor="text1"/>
          <w:sz w:val="22"/>
          <w:szCs w:val="22"/>
          <w:lang w:eastAsia="en-US"/>
        </w:rPr>
        <w:t xml:space="preserve">roboty remontowe , </w:t>
      </w:r>
      <w:r w:rsidR="008C03F2" w:rsidRPr="00E636F7">
        <w:rPr>
          <w:rFonts w:ascii="Tahoma" w:eastAsiaTheme="minorHAnsi" w:hAnsi="Tahoma" w:cs="Tahoma"/>
          <w:color w:val="000000" w:themeColor="text1"/>
          <w:sz w:val="22"/>
          <w:szCs w:val="22"/>
          <w:lang w:eastAsia="en-US"/>
        </w:rPr>
        <w:t>remont dachu</w:t>
      </w:r>
      <w:r w:rsidR="00377672" w:rsidRPr="00E636F7">
        <w:rPr>
          <w:rFonts w:ascii="Tahoma" w:eastAsiaTheme="minorHAnsi" w:hAnsi="Tahoma" w:cs="Tahoma"/>
          <w:color w:val="000000" w:themeColor="text1"/>
          <w:sz w:val="22"/>
          <w:szCs w:val="22"/>
          <w:lang w:eastAsia="en-US"/>
        </w:rPr>
        <w:t>, stolarkę okienną i drzwiową</w:t>
      </w:r>
      <w:r w:rsidR="008C03F2" w:rsidRPr="00E636F7">
        <w:rPr>
          <w:rFonts w:ascii="Tahoma" w:eastAsiaTheme="minorHAnsi" w:hAnsi="Tahoma" w:cs="Tahoma"/>
          <w:color w:val="000000" w:themeColor="text1"/>
          <w:sz w:val="22"/>
          <w:szCs w:val="22"/>
          <w:lang w:eastAsia="en-US"/>
        </w:rPr>
        <w:t xml:space="preserve"> </w:t>
      </w:r>
      <w:r w:rsidR="000F12DC" w:rsidRPr="00E636F7">
        <w:rPr>
          <w:rFonts w:ascii="Tahoma" w:eastAsiaTheme="minorHAnsi" w:hAnsi="Tahoma" w:cs="Tahoma"/>
          <w:color w:val="000000" w:themeColor="text1"/>
          <w:sz w:val="22"/>
          <w:szCs w:val="22"/>
          <w:lang w:eastAsia="en-US"/>
        </w:rPr>
        <w:t xml:space="preserve"> </w:t>
      </w:r>
      <w:r w:rsidR="00510BDA" w:rsidRPr="00E636F7">
        <w:rPr>
          <w:rFonts w:ascii="Tahoma" w:hAnsi="Tahoma" w:cs="Tahoma"/>
          <w:sz w:val="22"/>
          <w:szCs w:val="22"/>
        </w:rPr>
        <w:t xml:space="preserve">na kwotę o wartości minimum </w:t>
      </w:r>
      <w:r w:rsidR="00C06BE8" w:rsidRPr="00E636F7">
        <w:rPr>
          <w:rFonts w:ascii="Tahoma" w:hAnsi="Tahoma" w:cs="Tahoma"/>
          <w:sz w:val="22"/>
          <w:szCs w:val="22"/>
        </w:rPr>
        <w:t>2</w:t>
      </w:r>
      <w:r w:rsidR="008E5CA2" w:rsidRPr="00E636F7">
        <w:rPr>
          <w:rFonts w:ascii="Tahoma" w:hAnsi="Tahoma" w:cs="Tahoma"/>
          <w:sz w:val="22"/>
          <w:szCs w:val="22"/>
        </w:rPr>
        <w:t>50</w:t>
      </w:r>
      <w:r w:rsidR="006C03EE" w:rsidRPr="00E636F7">
        <w:rPr>
          <w:rFonts w:ascii="Tahoma" w:hAnsi="Tahoma" w:cs="Tahoma"/>
          <w:sz w:val="22"/>
          <w:szCs w:val="22"/>
        </w:rPr>
        <w:t xml:space="preserve"> </w:t>
      </w:r>
      <w:r w:rsidR="00510BDA" w:rsidRPr="00E636F7">
        <w:rPr>
          <w:rFonts w:ascii="Tahoma" w:hAnsi="Tahoma" w:cs="Tahoma"/>
          <w:sz w:val="22"/>
          <w:szCs w:val="22"/>
        </w:rPr>
        <w:t>000,00 zł brutto</w:t>
      </w:r>
      <w:r w:rsidR="00510BDA" w:rsidRPr="0042200A">
        <w:rPr>
          <w:rFonts w:ascii="Tahoma" w:hAnsi="Tahoma" w:cs="Tahoma"/>
          <w:sz w:val="22"/>
          <w:szCs w:val="22"/>
        </w:rPr>
        <w:t>.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udzielenie  zamówienia.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doświadczenie</w:t>
      </w:r>
      <w:r w:rsidR="00B02BC3" w:rsidRPr="0042200A">
        <w:rPr>
          <w:rFonts w:ascii="Tahoma" w:eastAsiaTheme="minorHAnsi" w:hAnsi="Tahoma" w:cs="Tahoma"/>
          <w:color w:val="000000" w:themeColor="text1"/>
          <w:sz w:val="22"/>
          <w:szCs w:val="22"/>
          <w:lang w:eastAsia="en-US"/>
        </w:rPr>
        <w:t xml:space="preserve">(por. wyrok Trybunału Sprawiedliwości UE z 4 maja 2017 r. w sprawie C-387/14 </w:t>
      </w:r>
      <w:proofErr w:type="spellStart"/>
      <w:r w:rsidR="00B02BC3" w:rsidRPr="0042200A">
        <w:rPr>
          <w:rFonts w:ascii="Tahoma" w:eastAsiaTheme="minorHAnsi" w:hAnsi="Tahoma" w:cs="Tahoma"/>
          <w:color w:val="000000" w:themeColor="text1"/>
          <w:sz w:val="22"/>
          <w:szCs w:val="22"/>
          <w:lang w:eastAsia="en-US"/>
        </w:rPr>
        <w:t>Esaprojekt</w:t>
      </w:r>
      <w:proofErr w:type="spellEnd"/>
      <w:r w:rsidR="00B02BC3" w:rsidRPr="0042200A">
        <w:rPr>
          <w:rFonts w:ascii="Tahoma" w:eastAsiaTheme="minorHAnsi" w:hAnsi="Tahoma" w:cs="Tahoma"/>
          <w:color w:val="000000" w:themeColor="text1"/>
          <w:sz w:val="22"/>
          <w:szCs w:val="22"/>
          <w:lang w:eastAsia="en-US"/>
        </w:rPr>
        <w: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1"/>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7875B4C2" w:rsidR="001C4D3C" w:rsidRPr="00E636F7" w:rsidRDefault="008C03F2" w:rsidP="0048590C">
      <w:pPr>
        <w:pStyle w:val="Akapitzlist"/>
        <w:overflowPunct/>
        <w:autoSpaceDE/>
        <w:autoSpaceDN/>
        <w:adjustRightInd/>
        <w:spacing w:after="70"/>
        <w:ind w:left="567" w:right="93" w:hanging="141"/>
        <w:textAlignment w:val="auto"/>
        <w:rPr>
          <w:rFonts w:ascii="Tahoma" w:hAnsi="Tahoma" w:cs="Tahoma"/>
          <w:sz w:val="22"/>
          <w:szCs w:val="22"/>
        </w:rPr>
      </w:pPr>
      <w:r w:rsidRPr="00E636F7">
        <w:rPr>
          <w:rFonts w:ascii="Tahoma" w:hAnsi="Tahoma" w:cs="Tahoma"/>
          <w:sz w:val="22"/>
          <w:szCs w:val="22"/>
        </w:rPr>
        <w:t xml:space="preserve">a) </w:t>
      </w:r>
      <w:r w:rsidR="001C4D3C" w:rsidRPr="00E636F7">
        <w:rPr>
          <w:rFonts w:ascii="Tahoma" w:hAnsi="Tahoma" w:cs="Tahoma"/>
          <w:sz w:val="22"/>
          <w:szCs w:val="22"/>
        </w:rPr>
        <w:t>minimum 1 osoba - kierownik budowy – osoba ta powinna posiadać:</w:t>
      </w:r>
    </w:p>
    <w:p w14:paraId="288288AA" w14:textId="525A21F0" w:rsidR="00BC385B" w:rsidRPr="00E636F7"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E636F7">
        <w:rPr>
          <w:rFonts w:ascii="Tahoma" w:hAnsi="Tahoma" w:cs="Tahoma"/>
          <w:sz w:val="22"/>
          <w:szCs w:val="22"/>
        </w:rPr>
        <w:t xml:space="preserve">uprawnienia budowlane do kierowania robotami budowlanymi w specjalności konstrukcyjno-budowlanej </w:t>
      </w:r>
      <w:r w:rsidR="00C62548" w:rsidRPr="00E636F7">
        <w:rPr>
          <w:rFonts w:ascii="Tahoma" w:hAnsi="Tahoma" w:cs="Tahoma"/>
          <w:sz w:val="22"/>
          <w:szCs w:val="22"/>
        </w:rPr>
        <w:t>co najmniej z ograniczeniami</w:t>
      </w:r>
      <w:r w:rsidRPr="00E636F7">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E636F7"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E636F7">
        <w:rPr>
          <w:rFonts w:ascii="Tahoma" w:hAnsi="Tahoma" w:cs="Tahoma"/>
          <w:sz w:val="22"/>
          <w:szCs w:val="22"/>
        </w:rPr>
        <w:t xml:space="preserve"> - ogólne doświadczenie zawodowe - co najmniej 3-letnie doświadczenie na stanowisku kierownika budowy w specjalności konstrukcyjno-budowlanej;</w:t>
      </w:r>
    </w:p>
    <w:p w14:paraId="2797AADF" w14:textId="77777777" w:rsidR="008C03F2" w:rsidRPr="00E636F7" w:rsidRDefault="008C03F2" w:rsidP="0048590C">
      <w:pPr>
        <w:pStyle w:val="Akapitzlist"/>
        <w:overflowPunct/>
        <w:autoSpaceDE/>
        <w:autoSpaceDN/>
        <w:adjustRightInd/>
        <w:spacing w:after="70"/>
        <w:ind w:left="426" w:right="93"/>
        <w:textAlignment w:val="auto"/>
        <w:rPr>
          <w:rFonts w:ascii="Tahoma" w:hAnsi="Tahoma" w:cs="Tahoma"/>
          <w:sz w:val="22"/>
          <w:szCs w:val="22"/>
        </w:rPr>
      </w:pPr>
    </w:p>
    <w:p w14:paraId="41EF9EF7" w14:textId="77777777" w:rsidR="008C03F2" w:rsidRPr="00E636F7" w:rsidRDefault="008C03F2" w:rsidP="008C03F2">
      <w:pPr>
        <w:pStyle w:val="Akapitzlist"/>
        <w:numPr>
          <w:ilvl w:val="0"/>
          <w:numId w:val="51"/>
        </w:numPr>
        <w:overflowPunct/>
        <w:autoSpaceDE/>
        <w:autoSpaceDN/>
        <w:adjustRightInd/>
        <w:spacing w:after="70"/>
        <w:ind w:right="93"/>
        <w:textAlignment w:val="auto"/>
        <w:rPr>
          <w:rFonts w:ascii="Tahoma" w:hAnsi="Tahoma" w:cs="Tahoma"/>
          <w:sz w:val="22"/>
          <w:szCs w:val="22"/>
        </w:rPr>
      </w:pPr>
      <w:r w:rsidRPr="00E636F7">
        <w:rPr>
          <w:rFonts w:ascii="Tahoma" w:hAnsi="Tahoma" w:cs="Tahoma"/>
          <w:sz w:val="22"/>
          <w:szCs w:val="22"/>
        </w:rPr>
        <w:t xml:space="preserve">minimum 1 osoba – kierownik robót branży elektrycznej posiadający uprawnienia budowlane do kierowania robotami budowanymi w specjalności instalacyjnej w zakresie instalacji i urządzeń elektrycznych i elektroenergetycznych oraz posiadający co najmniej 2-letnie doświadczenie zawodowe w kierowaniu robotami budowlanymi w swojej specjalności. </w:t>
      </w:r>
    </w:p>
    <w:p w14:paraId="3B6F32C4" w14:textId="77777777" w:rsidR="008C03F2" w:rsidRPr="0042200A" w:rsidRDefault="008C03F2" w:rsidP="0048590C">
      <w:pPr>
        <w:pStyle w:val="Akapitzlist"/>
        <w:overflowPunct/>
        <w:autoSpaceDE/>
        <w:autoSpaceDN/>
        <w:adjustRightInd/>
        <w:spacing w:after="70"/>
        <w:ind w:left="426" w:right="93"/>
        <w:textAlignment w:val="auto"/>
        <w:rPr>
          <w:rFonts w:ascii="Tahoma" w:hAnsi="Tahoma" w:cs="Tahoma"/>
          <w:sz w:val="22"/>
          <w:szCs w:val="22"/>
        </w:rPr>
      </w:pP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efinicje, budowy, przebudowy, remontu, projektanta, kierownika robót określono w ustawie z dnia 07 lipca 1994 r. Prawo budowlane .</w:t>
      </w:r>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2" w:name="_Hlk120274766"/>
      <w:r w:rsidR="0010674C" w:rsidRPr="0042200A">
        <w:rPr>
          <w:rFonts w:ascii="Tahoma" w:hAnsi="Tahoma" w:cs="Tahoma"/>
          <w:sz w:val="22"/>
          <w:szCs w:val="22"/>
        </w:rPr>
        <w:t xml:space="preserve">z dnia 07.07.1994 r. </w:t>
      </w:r>
      <w:bookmarkEnd w:id="12"/>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w:t>
      </w:r>
      <w:proofErr w:type="spellStart"/>
      <w:r w:rsidRPr="0042200A">
        <w:rPr>
          <w:rFonts w:ascii="Tahoma" w:hAnsi="Tahoma" w:cs="Tahoma"/>
          <w:sz w:val="22"/>
          <w:szCs w:val="22"/>
        </w:rPr>
        <w:t>t.j</w:t>
      </w:r>
      <w:proofErr w:type="spellEnd"/>
      <w:r w:rsidRPr="0042200A">
        <w:rPr>
          <w:rFonts w:ascii="Tahoma" w:hAnsi="Tahoma" w:cs="Tahoma"/>
          <w:sz w:val="22"/>
          <w:szCs w:val="22"/>
        </w:rPr>
        <w:t>.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xml:space="preserve">- nabyły kwalifikacje zawodowe do wykonywania działalności w budownictwie, </w:t>
      </w:r>
      <w:r w:rsidRPr="0042200A">
        <w:rPr>
          <w:rFonts w:ascii="Tahoma" w:hAnsi="Tahoma" w:cs="Tahoma"/>
          <w:sz w:val="22"/>
          <w:szCs w:val="22"/>
        </w:rPr>
        <w:lastRenderedPageBreak/>
        <w:t>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20a ust. 2-6 ustawy z dnia 15 grudnia 2000 r. 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a także bada, czy nie zachodzą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Części  X-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3" w:name="_Hlk147143994"/>
    </w:p>
    <w:bookmarkEnd w:id="13"/>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4" w:name="_Hlk29736832"/>
    </w:p>
    <w:bookmarkEnd w:id="14"/>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xml:space="preserve">, także oświadczenie podmiotu udostępniającego zasoby, potwierdzające brak podstaw wykluczenia tego podmiotu </w:t>
      </w:r>
      <w:r w:rsidRPr="0042200A">
        <w:rPr>
          <w:rStyle w:val="Ppogrubienie"/>
          <w:rFonts w:ascii="Tahoma" w:eastAsia="Times" w:hAnsi="Tahoma" w:cs="Tahoma"/>
          <w:b w:val="0"/>
          <w:sz w:val="22"/>
          <w:szCs w:val="22"/>
        </w:rPr>
        <w:lastRenderedPageBreak/>
        <w:t>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5"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5"/>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6" w:name="_Hlk29731470"/>
      <w:r w:rsidRPr="0042200A">
        <w:rPr>
          <w:rFonts w:ascii="Tahoma" w:eastAsia="Times" w:hAnsi="Tahoma" w:cs="Tahoma"/>
          <w:b/>
          <w:bCs/>
          <w:sz w:val="22"/>
          <w:szCs w:val="22"/>
        </w:rPr>
        <w:lastRenderedPageBreak/>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w postępowaniu o udzielenie zamówienia, w tym składanie ofert, wymiana informacji oraz przekazywanie dokumentów lub oświadczeń między Zamawiającym a wykonawcą, z uwzględnieniem wyjątków określonych w ust. 2, 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w:t>
      </w:r>
      <w:proofErr w:type="spellStart"/>
      <w:r w:rsidRPr="0042200A">
        <w:rPr>
          <w:rFonts w:ascii="Tahoma" w:eastAsia="Times" w:hAnsi="Tahoma" w:cs="Tahoma"/>
          <w:sz w:val="22"/>
          <w:szCs w:val="22"/>
        </w:rPr>
        <w:t>internetu</w:t>
      </w:r>
      <w:proofErr w:type="spellEnd"/>
      <w:r w:rsidRPr="0042200A">
        <w:rPr>
          <w:rFonts w:ascii="Tahoma" w:eastAsia="Times" w:hAnsi="Tahoma" w:cs="Tahoma"/>
          <w:sz w:val="22"/>
          <w:szCs w:val="22"/>
        </w:rPr>
        <w:t xml:space="preserve">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9051AB" w:rsidP="004A6182">
      <w:pPr>
        <w:pStyle w:val="ARTartustawynprozporzdzenia"/>
        <w:keepNext/>
        <w:spacing w:line="240" w:lineRule="auto"/>
        <w:ind w:left="720" w:firstLine="0"/>
        <w:contextualSpacing/>
        <w:rPr>
          <w:rFonts w:ascii="Tahoma" w:eastAsia="Times" w:hAnsi="Tahoma" w:cs="Tahoma"/>
          <w:sz w:val="22"/>
          <w:szCs w:val="22"/>
        </w:rPr>
      </w:pPr>
      <w:hyperlink r:id="rId11" w:history="1">
        <w:r w:rsidRPr="0042200A">
          <w:rPr>
            <w:rStyle w:val="Hipercze"/>
            <w:rFonts w:ascii="Tahoma" w:eastAsia="Times" w:hAnsi="Tahoma" w:cs="Tahoma"/>
            <w:sz w:val="22"/>
            <w:szCs w:val="22"/>
          </w:rPr>
          <w:t>https://store.proebiz.com/docs/josephine/pl/Wymagania_techniczne_sw_JOSEPHINE.pdf</w:t>
        </w:r>
      </w:hyperlink>
      <w:r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Wykonawca zamierzający złożyć ofertę (wyłącznie poprzez Platformę zakupową) – zobowiązany jest zapoznać się z Instrukcjami użytkowników Platformy zakupowej - dostępnymi pod adresem https://josephine.proebiz.com/pl/ ,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Wsparcia technicznego w zakresie działania Platformy zakupowej udziela jej dostawca, tj. PROEBIZ </w:t>
      </w:r>
      <w:proofErr w:type="spellStart"/>
      <w:r w:rsidRPr="0042200A">
        <w:rPr>
          <w:rFonts w:ascii="Tahoma" w:eastAsia="Times" w:hAnsi="Tahoma" w:cs="Tahoma"/>
          <w:bCs/>
          <w:sz w:val="22"/>
          <w:szCs w:val="22"/>
        </w:rPr>
        <w:t>s.r.o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Masarykovo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náměstí</w:t>
      </w:r>
      <w:proofErr w:type="spellEnd"/>
      <w:r w:rsidRPr="0042200A">
        <w:rPr>
          <w:rFonts w:ascii="Tahoma" w:eastAsia="Times" w:hAnsi="Tahoma" w:cs="Tahoma"/>
          <w:bCs/>
          <w:sz w:val="22"/>
          <w:szCs w:val="22"/>
        </w:rPr>
        <w:t xml:space="preserve"> 52/33, CZ - 702 00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xml:space="preserve"> - </w:t>
      </w:r>
      <w:proofErr w:type="spellStart"/>
      <w:r w:rsidRPr="0042200A">
        <w:rPr>
          <w:rFonts w:ascii="Tahoma" w:eastAsia="Times" w:hAnsi="Tahoma" w:cs="Tahoma"/>
          <w:bCs/>
          <w:sz w:val="22"/>
          <w:szCs w:val="22"/>
        </w:rPr>
        <w:t>Moravská</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 xml:space="preserve">Microsoft Internet Explorer w </w:t>
      </w:r>
      <w:proofErr w:type="spellStart"/>
      <w:r w:rsidRPr="0042200A">
        <w:rPr>
          <w:rFonts w:ascii="Tahoma" w:eastAsia="Times" w:hAnsi="Tahoma" w:cs="Tahoma"/>
          <w:sz w:val="22"/>
          <w:szCs w:val="22"/>
          <w:lang w:val="en-US"/>
        </w:rPr>
        <w:t>wersji</w:t>
      </w:r>
      <w:proofErr w:type="spellEnd"/>
      <w:r w:rsidRPr="0042200A">
        <w:rPr>
          <w:rFonts w:ascii="Tahoma" w:eastAsia="Times" w:hAnsi="Tahoma" w:cs="Tahoma"/>
          <w:sz w:val="22"/>
          <w:szCs w:val="22"/>
          <w:lang w:val="en-US"/>
        </w:rPr>
        <w:t xml:space="preserve"> 11,0 </w:t>
      </w:r>
      <w:proofErr w:type="spellStart"/>
      <w:r w:rsidRPr="0042200A">
        <w:rPr>
          <w:rFonts w:ascii="Tahoma" w:eastAsia="Times" w:hAnsi="Tahoma" w:cs="Tahoma"/>
          <w:sz w:val="22"/>
          <w:szCs w:val="22"/>
          <w:lang w:val="en-US"/>
        </w:rPr>
        <w:t>i</w:t>
      </w:r>
      <w:proofErr w:type="spellEnd"/>
      <w:r w:rsidRPr="0042200A">
        <w:rPr>
          <w:rFonts w:ascii="Tahoma" w:eastAsia="Times" w:hAnsi="Tahoma" w:cs="Tahoma"/>
          <w:sz w:val="22"/>
          <w:szCs w:val="22"/>
          <w:lang w:val="en-US"/>
        </w:rPr>
        <w:t xml:space="preserve"> </w:t>
      </w:r>
      <w:proofErr w:type="spellStart"/>
      <w:r w:rsidRPr="0042200A">
        <w:rPr>
          <w:rFonts w:ascii="Tahoma" w:eastAsia="Times" w:hAnsi="Tahoma" w:cs="Tahoma"/>
          <w:sz w:val="22"/>
          <w:szCs w:val="22"/>
          <w:lang w:val="en-US"/>
        </w:rPr>
        <w:t>nowsze</w:t>
      </w:r>
      <w:proofErr w:type="spellEnd"/>
      <w:r w:rsidRPr="0042200A">
        <w:rPr>
          <w:rFonts w:ascii="Tahoma" w:eastAsia="Times" w:hAnsi="Tahoma" w:cs="Tahoma"/>
          <w:sz w:val="22"/>
          <w:szCs w:val="22"/>
          <w:lang w:val="en-US"/>
        </w:rPr>
        <w:t xml:space="preserv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Mozilla </w:t>
      </w:r>
      <w:proofErr w:type="spellStart"/>
      <w:r w:rsidRPr="0042200A">
        <w:rPr>
          <w:rFonts w:ascii="Tahoma" w:eastAsia="Times" w:hAnsi="Tahoma" w:cs="Tahoma"/>
          <w:sz w:val="22"/>
          <w:szCs w:val="22"/>
        </w:rPr>
        <w:t>Firefox</w:t>
      </w:r>
      <w:proofErr w:type="spellEnd"/>
      <w:r w:rsidRPr="0042200A">
        <w:rPr>
          <w:rFonts w:ascii="Tahoma" w:eastAsia="Times" w:hAnsi="Tahoma" w:cs="Tahoma"/>
          <w:sz w:val="22"/>
          <w:szCs w:val="22"/>
        </w:rPr>
        <w:t xml:space="preserve">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zakupowej , jak również w momencie kiedy dane są podpisywane kwalifikowanym elektronicznym podpisem. Oprogramowanie Java można pobrać ze strony </w:t>
      </w:r>
      <w:hyperlink r:id="rId12"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określa dopuszczalne formaty przesyłanych danych tj. pliki o maksymalnej objętości danych wielkości do 300 MB (zalecany format: pdf.) </w:t>
      </w:r>
      <w:r w:rsidRPr="0042200A">
        <w:rPr>
          <w:rFonts w:ascii="Tahoma" w:eastAsia="Times" w:hAnsi="Tahoma" w:cs="Tahoma"/>
          <w:sz w:val="22"/>
          <w:szCs w:val="22"/>
        </w:rPr>
        <w:lastRenderedPageBreak/>
        <w:t>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dopuszcza formaty danych określone w rozporządzeniu Rady Ministrów z dnia 12 kwietnia 2012r. w sprawie Krajowych Ram Interoperacyjności, minimalnych wymagań dla rejestrów publicznych i wymiany informacji w postaci elektronicznej oraz minimalnych wymagań dla systemów teleinformatycznych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 U. z 2017 r. poz. 2247) w szczególności formaty: .pdf, .</w:t>
      </w:r>
      <w:proofErr w:type="spellStart"/>
      <w:r w:rsidRPr="0042200A">
        <w:rPr>
          <w:rFonts w:ascii="Tahoma" w:eastAsia="Times" w:hAnsi="Tahoma" w:cs="Tahoma"/>
          <w:sz w:val="22"/>
          <w:szCs w:val="22"/>
        </w:rPr>
        <w:t>doc</w:t>
      </w:r>
      <w:proofErr w:type="spellEnd"/>
      <w:r w:rsidRPr="0042200A">
        <w:rPr>
          <w:rFonts w:ascii="Tahoma" w:eastAsia="Times" w:hAnsi="Tahoma" w:cs="Tahoma"/>
          <w:sz w:val="22"/>
          <w:szCs w:val="22"/>
        </w:rPr>
        <w:t>, .</w:t>
      </w:r>
      <w:proofErr w:type="spellStart"/>
      <w:r w:rsidRPr="0042200A">
        <w:rPr>
          <w:rFonts w:ascii="Tahoma" w:eastAsia="Times" w:hAnsi="Tahoma" w:cs="Tahoma"/>
          <w:sz w:val="22"/>
          <w:szCs w:val="22"/>
        </w:rPr>
        <w:t>docx</w:t>
      </w:r>
      <w:proofErr w:type="spellEnd"/>
      <w:r w:rsidRPr="0042200A">
        <w:rPr>
          <w:rFonts w:ascii="Tahoma" w:eastAsia="Times" w:hAnsi="Tahoma" w:cs="Tahoma"/>
          <w:sz w:val="22"/>
          <w:szCs w:val="22"/>
        </w:rPr>
        <w:t>, .rtf, .</w:t>
      </w:r>
      <w:proofErr w:type="spellStart"/>
      <w:r w:rsidRPr="0042200A">
        <w:rPr>
          <w:rFonts w:ascii="Tahoma" w:eastAsia="Times" w:hAnsi="Tahoma" w:cs="Tahoma"/>
          <w:sz w:val="22"/>
          <w:szCs w:val="22"/>
        </w:rPr>
        <w:t>odt</w:t>
      </w:r>
      <w:proofErr w:type="spellEnd"/>
      <w:r w:rsidRPr="0042200A">
        <w:rPr>
          <w:rFonts w:ascii="Tahoma" w:eastAsia="Times" w:hAnsi="Tahoma" w:cs="Tahoma"/>
          <w:sz w:val="22"/>
          <w:szCs w:val="22"/>
        </w:rPr>
        <w: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42200A">
        <w:rPr>
          <w:rFonts w:ascii="Tahoma" w:eastAsia="Times" w:hAnsi="Tahoma" w:cs="Tahoma"/>
          <w:sz w:val="22"/>
          <w:szCs w:val="22"/>
        </w:rPr>
        <w:t>hh</w:t>
      </w:r>
      <w:proofErr w:type="spellEnd"/>
      <w:r w:rsidRPr="0042200A">
        <w:rPr>
          <w:rFonts w:ascii="Tahoma" w:eastAsia="Times" w:hAnsi="Tahoma" w:cs="Tahoma"/>
          <w:sz w:val="22"/>
          <w:szCs w:val="22"/>
        </w:rPr>
        <w:t>/mm/</w:t>
      </w:r>
      <w:proofErr w:type="spellStart"/>
      <w:r w:rsidRPr="0042200A">
        <w:rPr>
          <w:rFonts w:ascii="Tahoma" w:eastAsia="Times" w:hAnsi="Tahoma" w:cs="Tahoma"/>
          <w:sz w:val="22"/>
          <w:szCs w:val="22"/>
        </w:rPr>
        <w:t>ss</w:t>
      </w:r>
      <w:proofErr w:type="spellEnd"/>
      <w:r w:rsidRPr="0042200A">
        <w:rPr>
          <w:rFonts w:ascii="Tahoma" w:eastAsia="Times" w:hAnsi="Tahoma" w:cs="Tahoma"/>
          <w:sz w:val="22"/>
          <w:szCs w:val="22"/>
        </w:rPr>
        <w:t>),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7"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18"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19"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18"/>
      <w:bookmarkEnd w:id="19"/>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przypadku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812A29">
        <w:rPr>
          <w:rFonts w:ascii="Tahoma" w:eastAsia="Times" w:hAnsi="Tahoma" w:cs="Tahoma"/>
          <w:sz w:val="22"/>
          <w:szCs w:val="22"/>
        </w:rPr>
        <w:lastRenderedPageBreak/>
        <w:t xml:space="preserve">wykonawca </w:t>
      </w:r>
      <w:r w:rsidRPr="00812A29">
        <w:rPr>
          <w:rFonts w:ascii="Tahoma" w:eastAsia="Times" w:hAnsi="Tahoma" w:cs="Tahoma"/>
          <w:sz w:val="22"/>
          <w:szCs w:val="22"/>
        </w:rPr>
        <w:t>przekazuje cyfrowe odwzorowanie tego dokumentu opatrzone</w:t>
      </w:r>
      <w:r w:rsidRPr="0042200A">
        <w:rPr>
          <w:rFonts w:ascii="Tahoma" w:eastAsia="Times" w:hAnsi="Tahoma" w:cs="Tahoma"/>
          <w:sz w:val="22"/>
          <w:szCs w:val="22"/>
        </w:rPr>
        <w:t xml:space="preserv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E75E3B"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w:t>
      </w:r>
      <w:r w:rsidRPr="00812A29">
        <w:rPr>
          <w:rFonts w:ascii="Tahoma" w:eastAsia="Times" w:hAnsi="Tahoma" w:cs="Tahoma"/>
          <w:sz w:val="22"/>
          <w:szCs w:val="22"/>
        </w:rPr>
        <w:t>dowodowych lub dokumentów potwierdzających umocowanie do reprezentowania,</w:t>
      </w:r>
      <w:r w:rsidRPr="0042200A">
        <w:rPr>
          <w:rFonts w:ascii="Tahoma" w:eastAsia="Times" w:hAnsi="Tahoma" w:cs="Tahoma"/>
          <w:sz w:val="22"/>
          <w:szCs w:val="22"/>
        </w:rPr>
        <w:t xml:space="preserve"> </w:t>
      </w:r>
      <w:r w:rsidRPr="00E75E3B">
        <w:rPr>
          <w:rFonts w:ascii="Tahoma" w:eastAsia="Times" w:hAnsi="Tahoma" w:cs="Tahoma"/>
          <w:sz w:val="22"/>
          <w:szCs w:val="22"/>
        </w:rPr>
        <w:t>które każdego z nich dotyczą;</w:t>
      </w:r>
    </w:p>
    <w:p w14:paraId="4CA87590" w14:textId="5DFA2D0D" w:rsidR="005F67AD" w:rsidRPr="00E75E3B" w:rsidRDefault="005F67AD" w:rsidP="004A6182">
      <w:pPr>
        <w:pStyle w:val="Akapitzlist"/>
        <w:numPr>
          <w:ilvl w:val="0"/>
          <w:numId w:val="32"/>
        </w:numPr>
        <w:jc w:val="both"/>
        <w:rPr>
          <w:rFonts w:ascii="Tahoma" w:eastAsia="Times" w:hAnsi="Tahoma" w:cs="Tahoma"/>
          <w:sz w:val="22"/>
          <w:szCs w:val="22"/>
        </w:rPr>
      </w:pPr>
      <w:r w:rsidRPr="00E75E3B">
        <w:rPr>
          <w:rFonts w:ascii="Tahoma" w:eastAsia="Times" w:hAnsi="Tahoma" w:cs="Tahoma"/>
          <w:sz w:val="22"/>
          <w:szCs w:val="22"/>
        </w:rPr>
        <w:t>innych dokumentów – odpowiednio Wykonawca lub Wykonawca wspólnie ubiegający się o udzielenie zamówienia w zakresie dokumentów, które każdego z nich dotyczą</w:t>
      </w:r>
      <w:r w:rsidR="00E030DB" w:rsidRPr="00E75E3B">
        <w:rPr>
          <w:rFonts w:ascii="Tahoma" w:eastAsia="Times" w:hAnsi="Tahoma" w:cs="Tahoma"/>
          <w:sz w:val="22"/>
          <w:szCs w:val="22"/>
        </w:rPr>
        <w:t>.</w:t>
      </w:r>
    </w:p>
    <w:p w14:paraId="38862FC5" w14:textId="2704F34F" w:rsidR="00A4456E" w:rsidRPr="00E75E3B" w:rsidRDefault="00A4456E" w:rsidP="004A6182">
      <w:pPr>
        <w:pStyle w:val="Akapitzlist"/>
        <w:numPr>
          <w:ilvl w:val="0"/>
          <w:numId w:val="34"/>
        </w:numPr>
        <w:jc w:val="both"/>
        <w:rPr>
          <w:rFonts w:ascii="Tahoma" w:eastAsia="Times" w:hAnsi="Tahoma" w:cs="Tahoma"/>
          <w:sz w:val="22"/>
          <w:szCs w:val="22"/>
        </w:rPr>
      </w:pPr>
      <w:r w:rsidRPr="00E75E3B">
        <w:rPr>
          <w:rFonts w:ascii="Tahoma" w:eastAsia="Times" w:hAnsi="Tahoma" w:cs="Tahoma"/>
          <w:sz w:val="22"/>
          <w:szCs w:val="22"/>
        </w:rPr>
        <w:t xml:space="preserve"> Poświadczenia zgodności cyfrowego odwzorowania</w:t>
      </w:r>
      <w:r w:rsidR="00273B92" w:rsidRPr="00E75E3B">
        <w:rPr>
          <w:rStyle w:val="Odwoanieprzypisudolnego"/>
          <w:rFonts w:ascii="Tahoma" w:eastAsia="Times" w:hAnsi="Tahoma" w:cs="Tahoma"/>
          <w:sz w:val="22"/>
          <w:szCs w:val="22"/>
        </w:rPr>
        <w:footnoteReference w:id="2"/>
      </w:r>
      <w:r w:rsidRPr="00E75E3B">
        <w:rPr>
          <w:rFonts w:ascii="Tahoma" w:eastAsia="Times" w:hAnsi="Tahoma" w:cs="Tahoma"/>
          <w:sz w:val="22"/>
          <w:szCs w:val="22"/>
        </w:rPr>
        <w:t xml:space="preserve"> z dokumentem w postaci papierowej, o którym mowa w ust. </w:t>
      </w:r>
      <w:r w:rsidR="00273B92" w:rsidRPr="00E75E3B">
        <w:rPr>
          <w:rFonts w:ascii="Tahoma" w:eastAsia="Times" w:hAnsi="Tahoma" w:cs="Tahoma"/>
          <w:sz w:val="22"/>
          <w:szCs w:val="22"/>
        </w:rPr>
        <w:t>4</w:t>
      </w:r>
      <w:r w:rsidRPr="00E75E3B">
        <w:rPr>
          <w:rFonts w:ascii="Tahoma" w:eastAsia="Times" w:hAnsi="Tahoma" w:cs="Tahoma"/>
          <w:sz w:val="22"/>
          <w:szCs w:val="22"/>
        </w:rPr>
        <w:t>, może dokonać również notariusz</w:t>
      </w:r>
      <w:r w:rsidR="001753CF" w:rsidRPr="00E75E3B">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E75E3B">
        <w:rPr>
          <w:rFonts w:ascii="Tahoma" w:eastAsia="Times" w:hAnsi="Tahoma" w:cs="Tahoma"/>
          <w:sz w:val="22"/>
          <w:szCs w:val="22"/>
        </w:rPr>
        <w:t>W przypadku</w:t>
      </w:r>
      <w:r w:rsidRPr="0042200A">
        <w:rPr>
          <w:rFonts w:ascii="Tahoma" w:eastAsia="Times" w:hAnsi="Tahoma" w:cs="Tahoma"/>
          <w:sz w:val="22"/>
          <w:szCs w:val="22"/>
        </w:rPr>
        <w:t xml:space="preserve">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świadczenie wykonawców wspólnie ubiegających się o zamówienie, o którym mowa w art. 117 ust. 4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6"/>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7"/>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0"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amawiającego z wnioskiem o wyjaśnienie treści SWZ .</w:t>
      </w:r>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warunkiem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przypadku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przypadku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w:t>
      </w:r>
      <w:r w:rsidRPr="0042200A">
        <w:rPr>
          <w:rFonts w:ascii="Tahoma" w:eastAsia="Times" w:hAnsi="Tahoma" w:cs="Tahoma"/>
          <w:sz w:val="22"/>
          <w:szCs w:val="22"/>
        </w:rPr>
        <w:lastRenderedPageBreak/>
        <w:t>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0"/>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1F136195"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r w:rsidR="00B706A3" w:rsidRPr="00E75E3B">
        <w:rPr>
          <w:rFonts w:ascii="Tahoma" w:eastAsia="Times" w:hAnsi="Tahoma" w:cs="Tahoma"/>
          <w:sz w:val="22"/>
          <w:szCs w:val="22"/>
        </w:rPr>
        <w:t xml:space="preserve">dnia </w:t>
      </w:r>
      <w:r w:rsidR="000F4DEA" w:rsidRPr="00E75E3B">
        <w:rPr>
          <w:rFonts w:ascii="Tahoma" w:eastAsia="Times" w:hAnsi="Tahoma" w:cs="Tahoma"/>
          <w:sz w:val="22"/>
          <w:szCs w:val="22"/>
        </w:rPr>
        <w:t xml:space="preserve"> </w:t>
      </w:r>
      <w:r w:rsidR="00D34CBC">
        <w:rPr>
          <w:rFonts w:ascii="Tahoma" w:eastAsia="Times" w:hAnsi="Tahoma" w:cs="Tahoma"/>
          <w:sz w:val="22"/>
          <w:szCs w:val="22"/>
        </w:rPr>
        <w:t>03</w:t>
      </w:r>
      <w:r w:rsidR="00AD4ADD" w:rsidRPr="00E75E3B">
        <w:rPr>
          <w:rFonts w:ascii="Tahoma" w:eastAsia="Times" w:hAnsi="Tahoma" w:cs="Tahoma"/>
          <w:sz w:val="22"/>
          <w:szCs w:val="22"/>
        </w:rPr>
        <w:t>.0</w:t>
      </w:r>
      <w:r w:rsidR="00D34CBC">
        <w:rPr>
          <w:rFonts w:ascii="Tahoma" w:eastAsia="Times" w:hAnsi="Tahoma" w:cs="Tahoma"/>
          <w:sz w:val="22"/>
          <w:szCs w:val="22"/>
        </w:rPr>
        <w:t>6</w:t>
      </w:r>
      <w:r w:rsidR="00AD4ADD" w:rsidRPr="00E75E3B">
        <w:rPr>
          <w:rFonts w:ascii="Tahoma" w:eastAsia="Times" w:hAnsi="Tahoma" w:cs="Tahoma"/>
          <w:sz w:val="22"/>
          <w:szCs w:val="22"/>
        </w:rPr>
        <w:t>.2026 r.</w:t>
      </w:r>
      <w:r w:rsidRPr="00E75E3B">
        <w:rPr>
          <w:rFonts w:ascii="Tahoma" w:eastAsia="Times" w:hAnsi="Tahoma" w:cs="Tahoma"/>
          <w:sz w:val="22"/>
          <w:szCs w:val="22"/>
        </w:rPr>
        <w:t xml:space="preserve"> </w:t>
      </w:r>
      <w:bookmarkStart w:id="21" w:name="_Hlk60767127"/>
      <w:r w:rsidRPr="00E75E3B">
        <w:rPr>
          <w:rFonts w:ascii="Tahoma" w:eastAsia="Times" w:hAnsi="Tahoma" w:cs="Tahoma"/>
          <w:sz w:val="22"/>
          <w:szCs w:val="22"/>
        </w:rPr>
        <w:t>przy czym pierwszym dniem terminu związania ofertą jest dzień, w którym upływa termin</w:t>
      </w:r>
      <w:r w:rsidRPr="0042200A">
        <w:rPr>
          <w:rFonts w:ascii="Tahoma" w:eastAsia="Times" w:hAnsi="Tahoma" w:cs="Tahoma"/>
          <w:sz w:val="22"/>
          <w:szCs w:val="22"/>
        </w:rPr>
        <w:t xml:space="preserve"> składania ofert</w:t>
      </w:r>
      <w:bookmarkEnd w:id="21"/>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 </w:t>
      </w:r>
      <w:r w:rsidRPr="0042200A">
        <w:rPr>
          <w:rFonts w:ascii="Tahoma" w:eastAsia="Times" w:hAnsi="Tahoma" w:cs="Tahoma"/>
          <w:sz w:val="22"/>
          <w:szCs w:val="22"/>
        </w:rPr>
        <w:t xml:space="preserve"> pisemnej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odrzuca ofertę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2"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3" w:name="_Hlk60767469"/>
      <w:bookmarkStart w:id="24" w:name="_Hlk93491521"/>
      <w:r w:rsidRPr="0042200A">
        <w:rPr>
          <w:rFonts w:ascii="Tahoma" w:hAnsi="Tahoma" w:cs="Tahoma"/>
          <w:sz w:val="22"/>
          <w:szCs w:val="22"/>
          <w:lang w:eastAsia="en-US"/>
        </w:rPr>
        <w:t xml:space="preserve">W celu potwierdzenia, że osoba działająca w imieniu wykonawcy jest umocowana do jego reprezentowania, Zamawiający żąda od wykonawcy odpisu lub informacji z Krajowego </w:t>
      </w:r>
      <w:r w:rsidRPr="0042200A">
        <w:rPr>
          <w:rFonts w:ascii="Tahoma" w:hAnsi="Tahoma" w:cs="Tahoma"/>
          <w:sz w:val="22"/>
          <w:szCs w:val="22"/>
          <w:lang w:eastAsia="en-US"/>
        </w:rPr>
        <w:lastRenderedPageBreak/>
        <w:t>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jeżeli Zamawiający może je uzyskać za pomocą bezpłatnych i ogólnodostępnych baz 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3"/>
    <w:p w14:paraId="0A537002" w14:textId="584A78FB" w:rsidR="00394CB4" w:rsidRPr="00F51818"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F51818">
        <w:rPr>
          <w:rFonts w:ascii="Tahoma" w:hAnsi="Tahoma" w:cs="Tahoma"/>
          <w:sz w:val="22"/>
          <w:szCs w:val="22"/>
          <w:lang w:eastAsia="en-US"/>
        </w:rPr>
        <w:t xml:space="preserve">Do oferty wykonawca </w:t>
      </w:r>
      <w:r w:rsidR="000608D9" w:rsidRPr="00F51818">
        <w:rPr>
          <w:rFonts w:ascii="Tahoma" w:hAnsi="Tahoma" w:cs="Tahoma"/>
          <w:sz w:val="22"/>
          <w:szCs w:val="22"/>
          <w:lang w:eastAsia="en-US"/>
        </w:rPr>
        <w:t>doł</w:t>
      </w:r>
      <w:r w:rsidRPr="00F51818">
        <w:rPr>
          <w:rFonts w:ascii="Tahoma" w:hAnsi="Tahoma" w:cs="Tahoma"/>
          <w:sz w:val="22"/>
          <w:szCs w:val="22"/>
          <w:lang w:eastAsia="en-US"/>
        </w:rPr>
        <w:t>ącza:</w:t>
      </w:r>
    </w:p>
    <w:bookmarkEnd w:id="24"/>
    <w:p w14:paraId="73DB01B4" w14:textId="203154E0"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aktualne na dzień składania ofert odpowiednio oświadczenie/a</w:t>
      </w:r>
      <w:r w:rsidR="00897ED7" w:rsidRPr="00F51818">
        <w:rPr>
          <w:rFonts w:ascii="Tahoma" w:eastAsia="Calibri" w:hAnsi="Tahoma" w:cs="Tahoma"/>
          <w:sz w:val="22"/>
          <w:szCs w:val="22"/>
          <w:lang w:eastAsia="en-US"/>
        </w:rPr>
        <w:t xml:space="preserve"> (z art. 125 Pzp)</w:t>
      </w:r>
      <w:r w:rsidRPr="00F51818">
        <w:rPr>
          <w:rFonts w:ascii="Tahoma" w:eastAsia="Calibri" w:hAnsi="Tahoma" w:cs="Tahoma"/>
          <w:sz w:val="22"/>
          <w:szCs w:val="22"/>
          <w:lang w:eastAsia="en-US"/>
        </w:rPr>
        <w:t xml:space="preserve">, o których mowa w </w:t>
      </w:r>
      <w:r w:rsidR="007E1BDD" w:rsidRPr="00F51818">
        <w:rPr>
          <w:rFonts w:ascii="Tahoma" w:eastAsia="Calibri" w:hAnsi="Tahoma" w:cs="Tahoma"/>
          <w:sz w:val="22"/>
          <w:szCs w:val="22"/>
          <w:lang w:eastAsia="en-US"/>
        </w:rPr>
        <w:t>C</w:t>
      </w:r>
      <w:r w:rsidR="00C46C24" w:rsidRPr="00F51818">
        <w:rPr>
          <w:rFonts w:ascii="Tahoma" w:eastAsia="Calibri" w:hAnsi="Tahoma" w:cs="Tahoma"/>
          <w:sz w:val="22"/>
          <w:szCs w:val="22"/>
          <w:lang w:eastAsia="en-US"/>
        </w:rPr>
        <w:t>zęści XVI</w:t>
      </w:r>
      <w:r w:rsidR="00EE05BD" w:rsidRPr="00F51818">
        <w:rPr>
          <w:rFonts w:ascii="Tahoma" w:eastAsia="Calibri" w:hAnsi="Tahoma" w:cs="Tahoma"/>
          <w:sz w:val="22"/>
          <w:szCs w:val="22"/>
          <w:lang w:eastAsia="en-US"/>
        </w:rPr>
        <w:t>I</w:t>
      </w:r>
      <w:r w:rsidR="00C46C24" w:rsidRPr="00F51818">
        <w:rPr>
          <w:rFonts w:ascii="Tahoma" w:eastAsia="Calibri" w:hAnsi="Tahoma" w:cs="Tahoma"/>
          <w:sz w:val="22"/>
          <w:szCs w:val="22"/>
          <w:lang w:eastAsia="en-US"/>
        </w:rPr>
        <w:t xml:space="preserve"> SWZ ust. 1 -4</w:t>
      </w:r>
      <w:r w:rsidR="00897ED7" w:rsidRPr="00F51818">
        <w:rPr>
          <w:rFonts w:ascii="Tahoma" w:eastAsia="Calibri" w:hAnsi="Tahoma" w:cs="Tahoma"/>
          <w:sz w:val="22"/>
          <w:szCs w:val="22"/>
          <w:lang w:eastAsia="en-US"/>
        </w:rPr>
        <w:t>;</w:t>
      </w:r>
    </w:p>
    <w:p w14:paraId="3922D2A4" w14:textId="3D2AD6F4" w:rsidR="004D6E9A" w:rsidRPr="00F51818"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 xml:space="preserve">dokumenty, o których mowa w ust. </w:t>
      </w:r>
      <w:r w:rsidR="00A61AB4" w:rsidRPr="00F51818">
        <w:rPr>
          <w:rFonts w:ascii="Tahoma" w:eastAsia="Calibri" w:hAnsi="Tahoma" w:cs="Tahoma"/>
          <w:sz w:val="22"/>
          <w:szCs w:val="22"/>
          <w:lang w:eastAsia="en-US"/>
        </w:rPr>
        <w:t>5</w:t>
      </w:r>
      <w:r w:rsidRPr="00F51818">
        <w:rPr>
          <w:rFonts w:ascii="Tahoma" w:eastAsia="Calibri" w:hAnsi="Tahoma" w:cs="Tahoma"/>
          <w:sz w:val="22"/>
          <w:szCs w:val="22"/>
          <w:lang w:eastAsia="en-US"/>
        </w:rPr>
        <w:t>-</w:t>
      </w:r>
      <w:r w:rsidR="00B0039E" w:rsidRPr="00F51818">
        <w:rPr>
          <w:rFonts w:ascii="Tahoma" w:eastAsia="Calibri" w:hAnsi="Tahoma" w:cs="Tahoma"/>
          <w:sz w:val="22"/>
          <w:szCs w:val="22"/>
          <w:lang w:eastAsia="en-US"/>
        </w:rPr>
        <w:t>8</w:t>
      </w:r>
      <w:r w:rsidRPr="00F51818">
        <w:rPr>
          <w:rFonts w:ascii="Tahoma" w:eastAsia="Calibri" w:hAnsi="Tahoma" w:cs="Tahoma"/>
          <w:sz w:val="22"/>
          <w:szCs w:val="22"/>
          <w:lang w:eastAsia="en-US"/>
        </w:rPr>
        <w:t>,</w:t>
      </w:r>
      <w:r w:rsidR="00897ED7" w:rsidRPr="00F51818">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zobowiązanie podmiotu do udostępnienia zasobów, jeżeli wykonawca polega na zasobach innego podmiotu</w:t>
      </w:r>
      <w:r w:rsidR="00897ED7" w:rsidRPr="00F51818">
        <w:rPr>
          <w:rFonts w:ascii="Tahoma" w:eastAsia="Calibri" w:hAnsi="Tahoma" w:cs="Tahoma"/>
          <w:sz w:val="22"/>
          <w:szCs w:val="22"/>
          <w:lang w:eastAsia="en-US"/>
        </w:rPr>
        <w:t>;</w:t>
      </w:r>
    </w:p>
    <w:p w14:paraId="1D52E29B" w14:textId="5E49B6CC" w:rsidR="004F72DA" w:rsidRPr="00F51818"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F51818">
        <w:rPr>
          <w:rStyle w:val="Odwoanieprzypisudolnego"/>
          <w:rFonts w:ascii="Tahoma" w:eastAsia="Calibri" w:hAnsi="Tahoma" w:cs="Tahoma"/>
          <w:sz w:val="22"/>
          <w:szCs w:val="22"/>
          <w:lang w:eastAsia="en-US"/>
        </w:rPr>
        <w:footnoteReference w:id="5"/>
      </w:r>
      <w:r w:rsidR="004F72DA" w:rsidRPr="00F51818">
        <w:rPr>
          <w:rFonts w:ascii="Tahoma" w:eastAsia="Calibri" w:hAnsi="Tahoma" w:cs="Tahoma"/>
          <w:sz w:val="22"/>
          <w:szCs w:val="22"/>
          <w:lang w:eastAsia="en-US"/>
        </w:rPr>
        <w:t xml:space="preserve"> </w:t>
      </w:r>
      <w:r w:rsidR="00EE05BD" w:rsidRPr="00F51818">
        <w:rPr>
          <w:rFonts w:ascii="Tahoma" w:eastAsia="Calibri" w:hAnsi="Tahoma" w:cs="Tahoma"/>
          <w:sz w:val="22"/>
          <w:szCs w:val="22"/>
          <w:lang w:eastAsia="en-US"/>
        </w:rPr>
        <w:t>(</w:t>
      </w:r>
      <w:r w:rsidR="004F72DA" w:rsidRPr="00F51818">
        <w:rPr>
          <w:rFonts w:ascii="Tahoma" w:eastAsia="Calibri" w:hAnsi="Tahoma" w:cs="Tahoma"/>
          <w:sz w:val="22"/>
          <w:szCs w:val="22"/>
          <w:lang w:eastAsia="en-US"/>
        </w:rPr>
        <w:t>jeżeli dotyczy</w:t>
      </w:r>
      <w:r w:rsidR="00EE05BD" w:rsidRPr="00F51818">
        <w:rPr>
          <w:rFonts w:ascii="Tahoma" w:eastAsia="Calibri" w:hAnsi="Tahoma" w:cs="Tahoma"/>
          <w:sz w:val="22"/>
          <w:szCs w:val="22"/>
          <w:lang w:eastAsia="en-US"/>
        </w:rPr>
        <w:t>)</w:t>
      </w:r>
      <w:r w:rsidR="004F72DA" w:rsidRPr="00F51818">
        <w:rPr>
          <w:rFonts w:ascii="Tahoma" w:eastAsia="Calibri" w:hAnsi="Tahoma" w:cs="Tahoma"/>
          <w:sz w:val="22"/>
          <w:szCs w:val="22"/>
          <w:lang w:eastAsia="en-US"/>
        </w:rPr>
        <w:t>;</w:t>
      </w:r>
    </w:p>
    <w:p w14:paraId="4D023A62" w14:textId="2364F9A4"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F51818">
        <w:rPr>
          <w:rFonts w:ascii="Tahoma" w:eastAsia="Calibri" w:hAnsi="Tahoma" w:cs="Tahoma"/>
          <w:sz w:val="22"/>
          <w:szCs w:val="22"/>
          <w:lang w:eastAsia="en-US"/>
        </w:rPr>
        <w:t>;</w:t>
      </w:r>
    </w:p>
    <w:p w14:paraId="7D9CB41E" w14:textId="69E49AE0" w:rsidR="007C2CB8" w:rsidRPr="00F51818"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hAnsi="Tahoma" w:cs="Tahoma"/>
          <w:sz w:val="22"/>
          <w:szCs w:val="22"/>
        </w:rPr>
        <w:t xml:space="preserve">przedmiotowe środki dowodowe, o którym mowa w </w:t>
      </w:r>
      <w:r w:rsidR="00E35B7C" w:rsidRPr="00F51818">
        <w:rPr>
          <w:rFonts w:ascii="Tahoma" w:hAnsi="Tahoma" w:cs="Tahoma"/>
          <w:sz w:val="22"/>
          <w:szCs w:val="22"/>
        </w:rPr>
        <w:t>C</w:t>
      </w:r>
      <w:r w:rsidR="002B642D" w:rsidRPr="00F51818">
        <w:rPr>
          <w:rFonts w:ascii="Tahoma" w:hAnsi="Tahoma" w:cs="Tahoma"/>
          <w:sz w:val="22"/>
          <w:szCs w:val="22"/>
        </w:rPr>
        <w:t>zęści VI</w:t>
      </w:r>
      <w:r w:rsidRPr="00F51818">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Pzp </w:t>
      </w:r>
      <w:r w:rsidRPr="0042200A">
        <w:rPr>
          <w:rFonts w:ascii="Tahoma" w:eastAsiaTheme="minorHAnsi" w:hAnsi="Tahoma" w:cs="Tahoma"/>
          <w:sz w:val="22"/>
          <w:szCs w:val="22"/>
          <w:lang w:eastAsia="en-US"/>
        </w:rPr>
        <w:t>.</w:t>
      </w:r>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w:t>
      </w:r>
      <w:proofErr w:type="spellStart"/>
      <w:r w:rsidRPr="0042200A">
        <w:rPr>
          <w:rFonts w:ascii="Tahoma" w:eastAsia="Calibri" w:hAnsi="Tahoma" w:cs="Tahoma"/>
          <w:sz w:val="22"/>
          <w:szCs w:val="22"/>
          <w:lang w:eastAsia="en-US"/>
        </w:rPr>
        <w:t>anonimizacji</w:t>
      </w:r>
      <w:proofErr w:type="spellEnd"/>
      <w:r w:rsidRPr="0042200A">
        <w:rPr>
          <w:rFonts w:ascii="Tahoma" w:eastAsia="Calibri" w:hAnsi="Tahoma" w:cs="Tahoma"/>
          <w:sz w:val="22"/>
          <w:szCs w:val="22"/>
          <w:lang w:eastAsia="en-US"/>
        </w:rPr>
        <w:t xml:space="preserve">), które stanowią tajemnicę przedsiębiorstwa przeznaczony dla Zamawiającego – plik ten nie będzie udostępniany innym wykonawcom, pod warunkiem, że Zamawiający uzna </w:t>
      </w:r>
      <w:r w:rsidRPr="0042200A">
        <w:rPr>
          <w:rFonts w:ascii="Tahoma" w:eastAsia="Calibri" w:hAnsi="Tahoma" w:cs="Tahoma"/>
          <w:sz w:val="22"/>
          <w:szCs w:val="22"/>
          <w:lang w:eastAsia="en-US"/>
        </w:rPr>
        <w:lastRenderedPageBreak/>
        <w:t xml:space="preserve">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pkt….. SWZ wskazuję usługę realizowaną na rzecz podmiotu prywatnego tj. </w:t>
      </w:r>
      <w:proofErr w:type="spellStart"/>
      <w:r w:rsidRPr="0042200A">
        <w:rPr>
          <w:rFonts w:ascii="Tahoma" w:hAnsi="Tahoma" w:cs="Tahoma"/>
          <w:i/>
          <w:iCs/>
          <w:sz w:val="22"/>
          <w:szCs w:val="22"/>
          <w:lang w:eastAsia="en-US"/>
        </w:rPr>
        <w:t>xxxxxxxxxxxxxxx</w:t>
      </w:r>
      <w:proofErr w:type="spellEnd"/>
      <w:r w:rsidRPr="0042200A">
        <w:rPr>
          <w:rFonts w:ascii="Tahoma" w:hAnsi="Tahoma" w:cs="Tahoma"/>
          <w:i/>
          <w:iCs/>
          <w:sz w:val="22"/>
          <w:szCs w:val="22"/>
          <w:lang w:eastAsia="en-US"/>
        </w:rPr>
        <w:t xml:space="preserve"> o wartości </w:t>
      </w:r>
      <w:proofErr w:type="spellStart"/>
      <w:r w:rsidRPr="0042200A">
        <w:rPr>
          <w:rFonts w:ascii="Tahoma" w:hAnsi="Tahoma" w:cs="Tahoma"/>
          <w:i/>
          <w:iCs/>
          <w:sz w:val="22"/>
          <w:szCs w:val="22"/>
          <w:lang w:eastAsia="en-US"/>
        </w:rPr>
        <w:t>xxxx</w:t>
      </w:r>
      <w:proofErr w:type="spellEnd"/>
      <w:r w:rsidRPr="0042200A">
        <w:rPr>
          <w:rFonts w:ascii="Tahoma" w:hAnsi="Tahoma" w:cs="Tahoma"/>
          <w:i/>
          <w:iCs/>
          <w:sz w:val="22"/>
          <w:szCs w:val="22"/>
          <w:lang w:eastAsia="en-US"/>
        </w:rPr>
        <w:t xml:space="preserve">, której przedmiotem było …………….”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2"/>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439D8D6E" w:rsidR="00BE3E7D" w:rsidRPr="00E75E3B"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w:t>
      </w:r>
      <w:r w:rsidRPr="00E75E3B">
        <w:rPr>
          <w:rFonts w:ascii="Tahoma" w:eastAsia="Times" w:hAnsi="Tahoma" w:cs="Tahoma"/>
          <w:sz w:val="22"/>
          <w:szCs w:val="22"/>
        </w:rPr>
        <w:t xml:space="preserve">oferty </w:t>
      </w:r>
      <w:r w:rsidR="00D34CBC">
        <w:rPr>
          <w:rFonts w:ascii="Tahoma" w:eastAsia="Times" w:hAnsi="Tahoma" w:cs="Tahoma"/>
          <w:sz w:val="22"/>
          <w:szCs w:val="22"/>
        </w:rPr>
        <w:t>05</w:t>
      </w:r>
      <w:r w:rsidR="00AD4ADD" w:rsidRPr="00E75E3B">
        <w:rPr>
          <w:rFonts w:ascii="Tahoma" w:eastAsia="Times" w:hAnsi="Tahoma" w:cs="Tahoma"/>
          <w:sz w:val="22"/>
          <w:szCs w:val="22"/>
        </w:rPr>
        <w:t>.0</w:t>
      </w:r>
      <w:r w:rsidR="00D34CBC">
        <w:rPr>
          <w:rFonts w:ascii="Tahoma" w:eastAsia="Times" w:hAnsi="Tahoma" w:cs="Tahoma"/>
          <w:sz w:val="22"/>
          <w:szCs w:val="22"/>
        </w:rPr>
        <w:t>5</w:t>
      </w:r>
      <w:r w:rsidR="00AD4ADD" w:rsidRPr="00E75E3B">
        <w:rPr>
          <w:rFonts w:ascii="Tahoma" w:eastAsia="Times" w:hAnsi="Tahoma" w:cs="Tahoma"/>
          <w:sz w:val="22"/>
          <w:szCs w:val="22"/>
        </w:rPr>
        <w:t xml:space="preserve">.2026 </w:t>
      </w:r>
      <w:r w:rsidR="000F4DEA" w:rsidRPr="00E75E3B">
        <w:rPr>
          <w:rFonts w:ascii="Tahoma" w:eastAsia="Times" w:hAnsi="Tahoma" w:cs="Tahoma"/>
          <w:sz w:val="22"/>
          <w:szCs w:val="22"/>
        </w:rPr>
        <w:t>r.</w:t>
      </w:r>
      <w:r w:rsidR="002B77B7" w:rsidRPr="00E75E3B">
        <w:rPr>
          <w:rFonts w:ascii="Tahoma" w:eastAsia="Times" w:hAnsi="Tahoma" w:cs="Tahoma"/>
          <w:sz w:val="22"/>
          <w:szCs w:val="22"/>
        </w:rPr>
        <w:t xml:space="preserve"> godzina </w:t>
      </w:r>
      <w:r w:rsidR="0061747F" w:rsidRPr="00E75E3B">
        <w:rPr>
          <w:rFonts w:ascii="Tahoma" w:eastAsia="Times" w:hAnsi="Tahoma" w:cs="Tahoma"/>
          <w:sz w:val="22"/>
          <w:szCs w:val="22"/>
        </w:rPr>
        <w:t>1</w:t>
      </w:r>
      <w:r w:rsidR="00510CCC">
        <w:rPr>
          <w:rFonts w:ascii="Tahoma" w:eastAsia="Times" w:hAnsi="Tahoma" w:cs="Tahoma"/>
          <w:sz w:val="22"/>
          <w:szCs w:val="22"/>
        </w:rPr>
        <w:t>0</w:t>
      </w:r>
      <w:r w:rsidR="003A4DE5" w:rsidRPr="00E75E3B">
        <w:rPr>
          <w:rFonts w:ascii="Tahoma" w:eastAsia="Times" w:hAnsi="Tahoma" w:cs="Tahoma"/>
          <w:sz w:val="22"/>
          <w:szCs w:val="22"/>
        </w:rPr>
        <w:t>:00</w:t>
      </w:r>
      <w:r w:rsidR="002B77B7" w:rsidRPr="00E75E3B">
        <w:rPr>
          <w:rFonts w:ascii="Tahoma" w:eastAsia="Times" w:hAnsi="Tahoma" w:cs="Tahoma"/>
          <w:sz w:val="22"/>
          <w:szCs w:val="22"/>
        </w:rPr>
        <w:t>.</w:t>
      </w:r>
    </w:p>
    <w:p w14:paraId="0E780DF1" w14:textId="61EE88DA" w:rsidR="00BE3E7D" w:rsidRPr="00E75E3B" w:rsidRDefault="00BE3E7D" w:rsidP="004A6182">
      <w:pPr>
        <w:pStyle w:val="Akapitzlist"/>
        <w:numPr>
          <w:ilvl w:val="3"/>
          <w:numId w:val="8"/>
        </w:numPr>
        <w:ind w:left="709" w:hanging="425"/>
        <w:jc w:val="both"/>
        <w:rPr>
          <w:rFonts w:ascii="Tahoma" w:eastAsia="Times" w:hAnsi="Tahoma" w:cs="Tahoma"/>
          <w:sz w:val="22"/>
          <w:szCs w:val="22"/>
        </w:rPr>
      </w:pPr>
      <w:r w:rsidRPr="00E75E3B">
        <w:rPr>
          <w:rFonts w:ascii="Tahoma" w:eastAsia="Times" w:hAnsi="Tahoma" w:cs="Tahoma"/>
          <w:sz w:val="22"/>
          <w:szCs w:val="22"/>
        </w:rPr>
        <w:t>Zamawiający zapewnia, aby z zawartością ofert nie można było zapoznać się przed upływem terminu ich otwarcia.</w:t>
      </w:r>
    </w:p>
    <w:p w14:paraId="7B70CA98" w14:textId="34DF78D4"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E75E3B">
        <w:rPr>
          <w:rFonts w:ascii="Tahoma" w:eastAsia="Times" w:hAnsi="Tahoma" w:cs="Tahoma"/>
          <w:sz w:val="22"/>
          <w:szCs w:val="22"/>
        </w:rPr>
        <w:t>Zamawiający dokona o</w:t>
      </w:r>
      <w:r w:rsidR="00BE3E7D" w:rsidRPr="00E75E3B">
        <w:rPr>
          <w:rFonts w:ascii="Tahoma" w:eastAsia="Times" w:hAnsi="Tahoma" w:cs="Tahoma"/>
          <w:sz w:val="22"/>
          <w:szCs w:val="22"/>
        </w:rPr>
        <w:t>twarci</w:t>
      </w:r>
      <w:r w:rsidRPr="00E75E3B">
        <w:rPr>
          <w:rFonts w:ascii="Tahoma" w:eastAsia="Times" w:hAnsi="Tahoma" w:cs="Tahoma"/>
          <w:sz w:val="22"/>
          <w:szCs w:val="22"/>
        </w:rPr>
        <w:t>a</w:t>
      </w:r>
      <w:r w:rsidR="00BE3E7D" w:rsidRPr="00E75E3B">
        <w:rPr>
          <w:rFonts w:ascii="Tahoma" w:eastAsia="Times" w:hAnsi="Tahoma" w:cs="Tahoma"/>
          <w:sz w:val="22"/>
          <w:szCs w:val="22"/>
        </w:rPr>
        <w:t xml:space="preserve"> ofert </w:t>
      </w:r>
      <w:r w:rsidR="00BA7552" w:rsidRPr="00E75E3B">
        <w:rPr>
          <w:rFonts w:ascii="Tahoma" w:eastAsia="Times" w:hAnsi="Tahoma" w:cs="Tahoma"/>
          <w:sz w:val="22"/>
          <w:szCs w:val="22"/>
        </w:rPr>
        <w:t>w dniu</w:t>
      </w:r>
      <w:r w:rsidR="003A4DE5" w:rsidRPr="00E75E3B">
        <w:rPr>
          <w:rFonts w:ascii="Tahoma" w:eastAsia="Times" w:hAnsi="Tahoma" w:cs="Tahoma"/>
          <w:sz w:val="22"/>
          <w:szCs w:val="22"/>
        </w:rPr>
        <w:t xml:space="preserve"> </w:t>
      </w:r>
      <w:r w:rsidR="00D34CBC">
        <w:rPr>
          <w:rFonts w:ascii="Tahoma" w:eastAsia="Times" w:hAnsi="Tahoma" w:cs="Tahoma"/>
          <w:sz w:val="22"/>
          <w:szCs w:val="22"/>
        </w:rPr>
        <w:t>05</w:t>
      </w:r>
      <w:r w:rsidR="00AD4ADD" w:rsidRPr="00E75E3B">
        <w:rPr>
          <w:rFonts w:ascii="Tahoma" w:eastAsia="Times" w:hAnsi="Tahoma" w:cs="Tahoma"/>
          <w:sz w:val="22"/>
          <w:szCs w:val="22"/>
        </w:rPr>
        <w:t>.0</w:t>
      </w:r>
      <w:r w:rsidR="00D34CBC">
        <w:rPr>
          <w:rFonts w:ascii="Tahoma" w:eastAsia="Times" w:hAnsi="Tahoma" w:cs="Tahoma"/>
          <w:sz w:val="22"/>
          <w:szCs w:val="22"/>
        </w:rPr>
        <w:t>5</w:t>
      </w:r>
      <w:r w:rsidR="00AD4ADD" w:rsidRPr="00E75E3B">
        <w:rPr>
          <w:rFonts w:ascii="Tahoma" w:eastAsia="Times" w:hAnsi="Tahoma" w:cs="Tahoma"/>
          <w:sz w:val="22"/>
          <w:szCs w:val="22"/>
        </w:rPr>
        <w:t>.2026</w:t>
      </w:r>
      <w:r w:rsidR="009E6B6F" w:rsidRPr="00E75E3B">
        <w:rPr>
          <w:rFonts w:ascii="Tahoma" w:eastAsia="Times" w:hAnsi="Tahoma" w:cs="Tahoma"/>
          <w:sz w:val="22"/>
          <w:szCs w:val="22"/>
        </w:rPr>
        <w:t xml:space="preserve"> r. </w:t>
      </w:r>
      <w:r w:rsidR="002B77B7" w:rsidRPr="00E75E3B">
        <w:rPr>
          <w:rFonts w:ascii="Tahoma" w:eastAsia="Times" w:hAnsi="Tahoma" w:cs="Tahoma"/>
          <w:sz w:val="22"/>
          <w:szCs w:val="22"/>
        </w:rPr>
        <w:t xml:space="preserve">godzina </w:t>
      </w:r>
      <w:r w:rsidR="0061747F" w:rsidRPr="00E75E3B">
        <w:rPr>
          <w:rFonts w:ascii="Tahoma" w:eastAsia="Times" w:hAnsi="Tahoma" w:cs="Tahoma"/>
          <w:sz w:val="22"/>
          <w:szCs w:val="22"/>
        </w:rPr>
        <w:t>1</w:t>
      </w:r>
      <w:r w:rsidR="00510CCC">
        <w:rPr>
          <w:rFonts w:ascii="Tahoma" w:eastAsia="Times" w:hAnsi="Tahoma" w:cs="Tahoma"/>
          <w:sz w:val="22"/>
          <w:szCs w:val="22"/>
        </w:rPr>
        <w:t>0</w:t>
      </w:r>
      <w:r w:rsidR="003A4DE5" w:rsidRPr="00E75E3B">
        <w:rPr>
          <w:rFonts w:ascii="Tahoma" w:eastAsia="Times" w:hAnsi="Tahoma" w:cs="Tahoma"/>
          <w:sz w:val="22"/>
          <w:szCs w:val="22"/>
        </w:rPr>
        <w:t>:</w:t>
      </w:r>
      <w:r w:rsidR="003D237C" w:rsidRPr="00E75E3B">
        <w:rPr>
          <w:rFonts w:ascii="Tahoma" w:eastAsia="Times" w:hAnsi="Tahoma" w:cs="Tahoma"/>
          <w:sz w:val="22"/>
          <w:szCs w:val="22"/>
        </w:rPr>
        <w:t>10</w:t>
      </w:r>
      <w:r w:rsidR="00BE3E7D" w:rsidRPr="00E75E3B">
        <w:rPr>
          <w:rFonts w:ascii="Tahoma" w:eastAsia="Times" w:hAnsi="Tahoma" w:cs="Tahoma"/>
          <w:sz w:val="22"/>
          <w:szCs w:val="22"/>
        </w:rPr>
        <w:t xml:space="preserve"> nie</w:t>
      </w:r>
      <w:r w:rsidR="00BE3E7D" w:rsidRPr="0042200A">
        <w:rPr>
          <w:rFonts w:ascii="Tahoma" w:eastAsia="Times" w:hAnsi="Tahoma" w:cs="Tahoma"/>
          <w:sz w:val="22"/>
          <w:szCs w:val="22"/>
        </w:rPr>
        <w:t xml:space="preserv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5" w:name="_Hlk29735226"/>
            <w:r w:rsidRPr="0042200A">
              <w:rPr>
                <w:rFonts w:ascii="Tahoma" w:hAnsi="Tahoma" w:cs="Tahoma"/>
                <w:b w:val="0"/>
                <w:bCs w:val="0"/>
                <w:sz w:val="22"/>
                <w:szCs w:val="22"/>
              </w:rPr>
              <w:br w:type="page"/>
            </w:r>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5"/>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zysk wykonawcy, zysk kalkulowany przez wykonawcę nie może być  przeznaczony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147BB231" w14:textId="719CB44E" w:rsidR="00792374" w:rsidRPr="0042200A" w:rsidRDefault="00E7143A" w:rsidP="009A75C7">
      <w:pPr>
        <w:pStyle w:val="PKTpunkt"/>
        <w:spacing w:line="240" w:lineRule="auto"/>
        <w:ind w:left="0" w:firstLine="0"/>
        <w:contextualSpacing/>
        <w:jc w:val="left"/>
        <w:rPr>
          <w:rFonts w:ascii="Tahoma" w:eastAsia="Times" w:hAnsi="Tahoma" w:cs="Tahoma"/>
          <w:color w:val="EE0000"/>
          <w:sz w:val="22"/>
          <w:szCs w:val="22"/>
        </w:rPr>
      </w:pPr>
      <w:r>
        <w:rPr>
          <w:rFonts w:ascii="Tahoma" w:eastAsia="Times" w:hAnsi="Tahoma" w:cs="Tahoma"/>
          <w:sz w:val="22"/>
          <w:szCs w:val="22"/>
        </w:rPr>
        <w:t>4</w:t>
      </w:r>
      <w:r w:rsidR="009A75C7"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4E632117" w:rsidR="00792374" w:rsidRPr="0042200A" w:rsidRDefault="00E7143A" w:rsidP="009A75C7">
      <w:pPr>
        <w:pStyle w:val="PKTpunkt"/>
        <w:spacing w:line="240" w:lineRule="auto"/>
        <w:ind w:left="0" w:firstLine="0"/>
        <w:contextualSpacing/>
        <w:jc w:val="left"/>
        <w:rPr>
          <w:rFonts w:ascii="Tahoma" w:eastAsia="Times" w:hAnsi="Tahoma" w:cs="Tahoma"/>
          <w:sz w:val="22"/>
          <w:szCs w:val="22"/>
        </w:rPr>
      </w:pPr>
      <w:r>
        <w:rPr>
          <w:rFonts w:ascii="Tahoma" w:eastAsia="Times" w:hAnsi="Tahoma" w:cs="Tahoma"/>
          <w:sz w:val="22"/>
          <w:szCs w:val="22"/>
        </w:rPr>
        <w:t>5</w:t>
      </w:r>
      <w:r w:rsidR="009A75C7"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33F0068E" w:rsidR="00792374" w:rsidRPr="0042200A" w:rsidRDefault="00E7143A" w:rsidP="009A75C7">
      <w:pPr>
        <w:pStyle w:val="PKTpunkt"/>
        <w:spacing w:line="240" w:lineRule="auto"/>
        <w:ind w:left="0" w:firstLine="0"/>
        <w:contextualSpacing/>
        <w:jc w:val="left"/>
        <w:rPr>
          <w:rFonts w:ascii="Tahoma" w:eastAsia="Times" w:hAnsi="Tahoma" w:cs="Tahoma"/>
          <w:sz w:val="22"/>
          <w:szCs w:val="22"/>
        </w:rPr>
      </w:pPr>
      <w:r>
        <w:rPr>
          <w:rFonts w:ascii="Tahoma" w:eastAsia="Times" w:hAnsi="Tahoma" w:cs="Tahoma"/>
          <w:sz w:val="22"/>
          <w:szCs w:val="22"/>
        </w:rPr>
        <w:lastRenderedPageBreak/>
        <w:t>6</w:t>
      </w:r>
      <w:r w:rsidR="009A75C7"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7827A242" w:rsidR="00783D08" w:rsidRPr="0042200A" w:rsidRDefault="00E7143A" w:rsidP="009A75C7">
      <w:pPr>
        <w:pStyle w:val="PKTpunkt"/>
        <w:spacing w:line="240" w:lineRule="auto"/>
        <w:ind w:left="0" w:firstLine="0"/>
        <w:contextualSpacing/>
        <w:jc w:val="left"/>
        <w:rPr>
          <w:rFonts w:ascii="Tahoma" w:hAnsi="Tahoma" w:cs="Tahoma"/>
          <w:sz w:val="22"/>
          <w:szCs w:val="22"/>
        </w:rPr>
      </w:pPr>
      <w:r>
        <w:rPr>
          <w:rFonts w:ascii="Tahoma" w:hAnsi="Tahoma" w:cs="Tahoma"/>
          <w:sz w:val="22"/>
          <w:szCs w:val="22"/>
        </w:rPr>
        <w:t>7</w:t>
      </w:r>
      <w:r w:rsidR="00783D08"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4F22E5F9" w:rsidR="00783D08" w:rsidRPr="0042200A" w:rsidRDefault="00E7143A" w:rsidP="009A75C7">
      <w:pPr>
        <w:pStyle w:val="PKTpunkt"/>
        <w:spacing w:line="240" w:lineRule="auto"/>
        <w:ind w:left="0" w:firstLine="0"/>
        <w:contextualSpacing/>
        <w:jc w:val="left"/>
        <w:rPr>
          <w:rFonts w:ascii="Tahoma" w:hAnsi="Tahoma" w:cs="Tahoma"/>
          <w:sz w:val="22"/>
          <w:szCs w:val="22"/>
        </w:rPr>
      </w:pPr>
      <w:r>
        <w:rPr>
          <w:rFonts w:ascii="Tahoma" w:hAnsi="Tahoma" w:cs="Tahoma"/>
          <w:sz w:val="22"/>
          <w:szCs w:val="22"/>
        </w:rPr>
        <w:t>8</w:t>
      </w:r>
      <w:r w:rsidR="00783D08"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14ED7AAB"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6"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oraz,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przypadku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Odrzuceniu,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proofErr w:type="spellStart"/>
      <w:r w:rsidR="007505CD" w:rsidRPr="0042200A">
        <w:rPr>
          <w:rFonts w:ascii="Tahoma" w:hAnsi="Tahoma" w:cs="Tahoma"/>
          <w:sz w:val="22"/>
          <w:szCs w:val="22"/>
        </w:rPr>
        <w:t>t.j</w:t>
      </w:r>
      <w:proofErr w:type="spellEnd"/>
      <w:r w:rsidR="007505CD" w:rsidRPr="0042200A">
        <w:rPr>
          <w:rFonts w:ascii="Tahoma" w:hAnsi="Tahoma" w:cs="Tahoma"/>
          <w:sz w:val="22"/>
          <w:szCs w:val="22"/>
        </w:rPr>
        <w:t xml:space="preserve">.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6"/>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lastRenderedPageBreak/>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w:t>
      </w:r>
      <w:proofErr w:type="spellStart"/>
      <w:r w:rsidRPr="0042200A">
        <w:rPr>
          <w:rFonts w:ascii="Tahoma" w:hAnsi="Tahoma" w:cs="Tahoma"/>
          <w:sz w:val="22"/>
          <w:szCs w:val="22"/>
        </w:rPr>
        <w:t>Cmin</w:t>
      </w:r>
      <w:proofErr w:type="spellEnd"/>
      <w:r w:rsidRPr="0042200A">
        <w:rPr>
          <w:rFonts w:ascii="Tahoma" w:hAnsi="Tahoma" w:cs="Tahoma"/>
          <w:sz w:val="22"/>
          <w:szCs w:val="22"/>
        </w:rPr>
        <w:t xml:space="preserve">/Co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proofErr w:type="spellStart"/>
      <w:r w:rsidRPr="0042200A">
        <w:rPr>
          <w:rFonts w:ascii="Tahoma" w:hAnsi="Tahoma" w:cs="Tahoma"/>
          <w:sz w:val="22"/>
          <w:szCs w:val="22"/>
        </w:rPr>
        <w:t>Cmin</w:t>
      </w:r>
      <w:proofErr w:type="spellEnd"/>
      <w:r w:rsidRPr="0042200A">
        <w:rPr>
          <w:rFonts w:ascii="Tahoma" w:hAnsi="Tahoma" w:cs="Tahoma"/>
          <w:sz w:val="22"/>
          <w:szCs w:val="22"/>
        </w:rPr>
        <w:t xml:space="preserve"> – najniższa cena brutto spośród wszystkich złożonych ofert niepodlegających  odrzuceniu</w:t>
      </w:r>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niepodlegających  odrzuceniu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7"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latach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3 lata  - 0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kres gwarancji</w:t>
      </w:r>
      <w:r w:rsidRPr="0042200A">
        <w:rPr>
          <w:rFonts w:ascii="Tahoma" w:hAnsi="Tahoma" w:cs="Tahoma"/>
          <w:sz w:val="22"/>
          <w:szCs w:val="22"/>
        </w:rPr>
        <w:t xml:space="preserve">  </w:t>
      </w:r>
      <w:r w:rsidRPr="0042200A">
        <w:rPr>
          <w:rFonts w:ascii="Tahoma" w:hAnsi="Tahoma" w:cs="Tahoma"/>
          <w:b/>
          <w:bCs/>
          <w:sz w:val="22"/>
          <w:szCs w:val="22"/>
        </w:rPr>
        <w:t>3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7"/>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dokonać wyboru oferty, w sposób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28" w:name="_Hlk138707031"/>
            <w:r w:rsidRPr="0042200A">
              <w:rPr>
                <w:rFonts w:ascii="Tahoma" w:hAnsi="Tahoma" w:cs="Tahoma"/>
                <w:sz w:val="22"/>
                <w:szCs w:val="22"/>
              </w:rPr>
              <w:t>ZAWIADOMIENIE O WYBORZE  NAJKORZYSTNIEJSZEJ OFERTY</w:t>
            </w:r>
            <w:bookmarkEnd w:id="28"/>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29" w:name="_Hlk138706970"/>
      <w:r w:rsidRPr="0042200A">
        <w:rPr>
          <w:rFonts w:ascii="Tahoma" w:eastAsia="Times" w:hAnsi="Tahoma" w:cs="Tahoma"/>
          <w:sz w:val="22"/>
          <w:szCs w:val="22"/>
        </w:rPr>
        <w:lastRenderedPageBreak/>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29"/>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0"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0"/>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 xml:space="preserve">wniesienia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 </w:t>
      </w:r>
      <w:r w:rsidR="00EC463B" w:rsidRPr="0042200A">
        <w:rPr>
          <w:rFonts w:ascii="Tahoma" w:hAnsi="Tahoma" w:cs="Tahoma"/>
          <w:sz w:val="22"/>
          <w:szCs w:val="22"/>
        </w:rPr>
        <w:t>Polisę</w:t>
      </w:r>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składek. Nieprzedłożenie przez wybranego wykonawcę ww. dokumentu </w:t>
      </w:r>
      <w:r w:rsidRPr="0042200A">
        <w:rPr>
          <w:rFonts w:ascii="Tahoma" w:hAnsi="Tahoma" w:cs="Tahoma"/>
          <w:sz w:val="22"/>
          <w:szCs w:val="22"/>
        </w:rPr>
        <w:t>(</w:t>
      </w:r>
      <w:r w:rsidR="004B0C5F" w:rsidRPr="0042200A">
        <w:rPr>
          <w:rFonts w:ascii="Tahoma" w:hAnsi="Tahoma" w:cs="Tahoma"/>
          <w:sz w:val="22"/>
          <w:szCs w:val="22"/>
        </w:rPr>
        <w:t xml:space="preserve"> polisy</w:t>
      </w:r>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bankowych lub poręczeniach spółdzielczej kasy oszczędnościowo-kredytowej, z tym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1"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1"/>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lastRenderedPageBreak/>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2"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r w:rsidR="00DA5E5E" w:rsidRPr="0042200A">
        <w:rPr>
          <w:rFonts w:ascii="Tahoma" w:eastAsia="Times" w:hAnsi="Tahoma" w:cs="Tahoma"/>
          <w:sz w:val="22"/>
          <w:szCs w:val="22"/>
        </w:rPr>
        <w:t>1</w:t>
      </w:r>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3"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2"/>
          <w:bookmarkEnd w:id="33"/>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4"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może unieważnić postępowanie o udzielenie zamówienia przed upływem terminu do składania  ofert,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4"/>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5" w:name="_Hlk138368475"/>
      <w:bookmarkStart w:id="36"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5"/>
    </w:p>
    <w:bookmarkEnd w:id="36"/>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lastRenderedPageBreak/>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zasoby </w:t>
      </w:r>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B906" w14:textId="77777777" w:rsidR="000C6555" w:rsidRDefault="000C6555" w:rsidP="0024710B">
      <w:r>
        <w:separator/>
      </w:r>
    </w:p>
  </w:endnote>
  <w:endnote w:type="continuationSeparator" w:id="0">
    <w:p w14:paraId="31F980D8" w14:textId="77777777" w:rsidR="000C6555" w:rsidRDefault="000C6555"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8590"/>
      <w:docPartObj>
        <w:docPartGallery w:val="Page Numbers (Bottom of Page)"/>
        <w:docPartUnique/>
      </w:docPartObj>
    </w:sdtPr>
    <w:sdtContent>
      <w:p w14:paraId="7131F803" w14:textId="6A60D950" w:rsidR="00A91172" w:rsidRDefault="00A91172">
        <w:pPr>
          <w:pStyle w:val="Stopka"/>
          <w:jc w:val="right"/>
        </w:pPr>
        <w:r>
          <w:fldChar w:fldCharType="begin"/>
        </w:r>
        <w:r>
          <w:instrText>PAGE   \* MERGEFORMAT</w:instrText>
        </w:r>
        <w:r>
          <w:fldChar w:fldCharType="separate"/>
        </w:r>
        <w:r w:rsidR="00E304EB">
          <w:rPr>
            <w:noProof/>
          </w:rPr>
          <w:t>1</w:t>
        </w:r>
        <w:r>
          <w:fldChar w:fldCharType="end"/>
        </w:r>
      </w:p>
    </w:sdtContent>
  </w:sdt>
  <w:p w14:paraId="1D401D7F" w14:textId="77777777" w:rsidR="00A91172" w:rsidRDefault="00A911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179F" w14:textId="77777777" w:rsidR="000C6555" w:rsidRDefault="000C6555" w:rsidP="0024710B">
      <w:r>
        <w:separator/>
      </w:r>
    </w:p>
  </w:footnote>
  <w:footnote w:type="continuationSeparator" w:id="0">
    <w:p w14:paraId="37323648" w14:textId="77777777" w:rsidR="000C6555" w:rsidRDefault="000C6555" w:rsidP="0024710B">
      <w:r>
        <w:continuationSeparator/>
      </w:r>
    </w:p>
  </w:footnote>
  <w:footnote w:id="1">
    <w:p w14:paraId="5038ABFF" w14:textId="101A892A" w:rsidR="000019A8" w:rsidRPr="00A61AB4" w:rsidRDefault="000019A8"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273B92" w:rsidRPr="00A61AB4" w:rsidRDefault="00273B9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A91172" w:rsidRPr="00A61AB4" w:rsidRDefault="00A9117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9F5B76" w:rsidRPr="00A61AB4" w:rsidRDefault="009F5B76">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w:t>
      </w:r>
      <w:r w:rsidRPr="00812A29">
        <w:rPr>
          <w:rFonts w:ascii="Tahoma" w:hAnsi="Tahoma" w:cs="Tahoma"/>
          <w:sz w:val="18"/>
          <w:szCs w:val="18"/>
        </w:rPr>
        <w:t>bezpośredniego dostępu do oryginału.</w:t>
      </w:r>
    </w:p>
  </w:footnote>
  <w:footnote w:id="5">
    <w:p w14:paraId="08BAB66C" w14:textId="57B62034" w:rsidR="00A91172" w:rsidRDefault="00A91172">
      <w:pPr>
        <w:pStyle w:val="Tekstprzypisudolnego"/>
      </w:pPr>
      <w:r>
        <w:rPr>
          <w:rStyle w:val="Odwoanieprzypisudolnego"/>
        </w:rPr>
        <w:footnoteRef/>
      </w:r>
      <w:r>
        <w:t xml:space="preserve"> Tj. oświadczenie, o którym mowa w art. 117 ust. 4 Pzp</w:t>
      </w:r>
    </w:p>
  </w:footnote>
  <w:footnote w:id="6">
    <w:p w14:paraId="21F17B7E" w14:textId="791CE769" w:rsidR="00A91172" w:rsidRDefault="00A91172">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88A74A1"/>
    <w:multiLevelType w:val="hybridMultilevel"/>
    <w:tmpl w:val="21F4F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8"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A3116"/>
    <w:multiLevelType w:val="hybridMultilevel"/>
    <w:tmpl w:val="355EC03C"/>
    <w:lvl w:ilvl="0" w:tplc="3FD095F4">
      <w:start w:val="1"/>
      <w:numFmt w:val="decimal"/>
      <w:lvlText w:val="%1."/>
      <w:lvlJc w:val="left"/>
      <w:pPr>
        <w:ind w:left="644"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55783763">
    <w:abstractNumId w:val="8"/>
  </w:num>
  <w:num w:numId="2" w16cid:durableId="1140222308">
    <w:abstractNumId w:val="11"/>
  </w:num>
  <w:num w:numId="3" w16cid:durableId="87310332">
    <w:abstractNumId w:val="40"/>
  </w:num>
  <w:num w:numId="4" w16cid:durableId="270288739">
    <w:abstractNumId w:val="3"/>
  </w:num>
  <w:num w:numId="5" w16cid:durableId="690230779">
    <w:abstractNumId w:val="44"/>
  </w:num>
  <w:num w:numId="6" w16cid:durableId="1398435581">
    <w:abstractNumId w:val="66"/>
  </w:num>
  <w:num w:numId="7" w16cid:durableId="170918829">
    <w:abstractNumId w:val="63"/>
  </w:num>
  <w:num w:numId="8" w16cid:durableId="1900046508">
    <w:abstractNumId w:val="43"/>
  </w:num>
  <w:num w:numId="9" w16cid:durableId="1574270447">
    <w:abstractNumId w:val="22"/>
  </w:num>
  <w:num w:numId="10" w16cid:durableId="938489187">
    <w:abstractNumId w:val="42"/>
  </w:num>
  <w:num w:numId="11" w16cid:durableId="754866213">
    <w:abstractNumId w:val="58"/>
  </w:num>
  <w:num w:numId="12" w16cid:durableId="1869027250">
    <w:abstractNumId w:val="36"/>
  </w:num>
  <w:num w:numId="13" w16cid:durableId="1868830677">
    <w:abstractNumId w:val="4"/>
  </w:num>
  <w:num w:numId="14" w16cid:durableId="1071998642">
    <w:abstractNumId w:val="16"/>
  </w:num>
  <w:num w:numId="15" w16cid:durableId="1836264287">
    <w:abstractNumId w:val="6"/>
  </w:num>
  <w:num w:numId="16" w16cid:durableId="188110497">
    <w:abstractNumId w:val="24"/>
  </w:num>
  <w:num w:numId="17" w16cid:durableId="1429813813">
    <w:abstractNumId w:val="17"/>
  </w:num>
  <w:num w:numId="18" w16cid:durableId="724909260">
    <w:abstractNumId w:val="50"/>
  </w:num>
  <w:num w:numId="19" w16cid:durableId="1170409585">
    <w:abstractNumId w:val="13"/>
  </w:num>
  <w:num w:numId="20" w16cid:durableId="746808163">
    <w:abstractNumId w:val="56"/>
  </w:num>
  <w:num w:numId="21" w16cid:durableId="928926292">
    <w:abstractNumId w:val="7"/>
  </w:num>
  <w:num w:numId="22" w16cid:durableId="124322303">
    <w:abstractNumId w:val="27"/>
  </w:num>
  <w:num w:numId="23" w16cid:durableId="1498612085">
    <w:abstractNumId w:val="21"/>
  </w:num>
  <w:num w:numId="24" w16cid:durableId="847720527">
    <w:abstractNumId w:val="71"/>
  </w:num>
  <w:num w:numId="25" w16cid:durableId="1947689650">
    <w:abstractNumId w:val="55"/>
  </w:num>
  <w:num w:numId="26" w16cid:durableId="436684396">
    <w:abstractNumId w:val="47"/>
  </w:num>
  <w:num w:numId="27" w16cid:durableId="602685828">
    <w:abstractNumId w:val="33"/>
  </w:num>
  <w:num w:numId="28" w16cid:durableId="1839728805">
    <w:abstractNumId w:val="12"/>
  </w:num>
  <w:num w:numId="29" w16cid:durableId="377319267">
    <w:abstractNumId w:val="65"/>
  </w:num>
  <w:num w:numId="30" w16cid:durableId="1494029257">
    <w:abstractNumId w:val="5"/>
  </w:num>
  <w:num w:numId="31" w16cid:durableId="443501056">
    <w:abstractNumId w:val="57"/>
  </w:num>
  <w:num w:numId="32" w16cid:durableId="810709523">
    <w:abstractNumId w:val="23"/>
  </w:num>
  <w:num w:numId="33" w16cid:durableId="1375883565">
    <w:abstractNumId w:val="48"/>
  </w:num>
  <w:num w:numId="34" w16cid:durableId="1907573057">
    <w:abstractNumId w:val="62"/>
  </w:num>
  <w:num w:numId="35" w16cid:durableId="409623886">
    <w:abstractNumId w:val="32"/>
  </w:num>
  <w:num w:numId="36" w16cid:durableId="100148878">
    <w:abstractNumId w:val="68"/>
  </w:num>
  <w:num w:numId="37" w16cid:durableId="414009378">
    <w:abstractNumId w:val="45"/>
  </w:num>
  <w:num w:numId="38" w16cid:durableId="1469207104">
    <w:abstractNumId w:val="39"/>
  </w:num>
  <w:num w:numId="39" w16cid:durableId="1202595222">
    <w:abstractNumId w:val="26"/>
  </w:num>
  <w:num w:numId="40" w16cid:durableId="1004013465">
    <w:abstractNumId w:val="59"/>
  </w:num>
  <w:num w:numId="41" w16cid:durableId="29646309">
    <w:abstractNumId w:val="64"/>
  </w:num>
  <w:num w:numId="42" w16cid:durableId="897547928">
    <w:abstractNumId w:val="25"/>
  </w:num>
  <w:num w:numId="43" w16cid:durableId="2067681728">
    <w:abstractNumId w:val="18"/>
  </w:num>
  <w:num w:numId="44" w16cid:durableId="1285886308">
    <w:abstractNumId w:val="31"/>
  </w:num>
  <w:num w:numId="45" w16cid:durableId="471751628">
    <w:abstractNumId w:val="9"/>
  </w:num>
  <w:num w:numId="46" w16cid:durableId="1902248883">
    <w:abstractNumId w:val="2"/>
  </w:num>
  <w:num w:numId="47" w16cid:durableId="1586838785">
    <w:abstractNumId w:val="51"/>
  </w:num>
  <w:num w:numId="48" w16cid:durableId="59256897">
    <w:abstractNumId w:val="69"/>
  </w:num>
  <w:num w:numId="49" w16cid:durableId="1679653915">
    <w:abstractNumId w:val="41"/>
  </w:num>
  <w:num w:numId="50" w16cid:durableId="794762747">
    <w:abstractNumId w:val="70"/>
  </w:num>
  <w:num w:numId="51" w16cid:durableId="2093769944">
    <w:abstractNumId w:val="20"/>
  </w:num>
  <w:num w:numId="52" w16cid:durableId="1632443668">
    <w:abstractNumId w:val="54"/>
  </w:num>
  <w:num w:numId="53" w16cid:durableId="1409034080">
    <w:abstractNumId w:val="61"/>
  </w:num>
  <w:num w:numId="54" w16cid:durableId="1604072216">
    <w:abstractNumId w:val="37"/>
  </w:num>
  <w:num w:numId="55" w16cid:durableId="1802916256">
    <w:abstractNumId w:val="52"/>
  </w:num>
  <w:num w:numId="56" w16cid:durableId="1420440653">
    <w:abstractNumId w:val="19"/>
  </w:num>
  <w:num w:numId="57" w16cid:durableId="39207314">
    <w:abstractNumId w:val="38"/>
  </w:num>
  <w:num w:numId="58" w16cid:durableId="992488463">
    <w:abstractNumId w:val="29"/>
  </w:num>
  <w:num w:numId="59" w16cid:durableId="1265069461">
    <w:abstractNumId w:val="34"/>
  </w:num>
  <w:num w:numId="60" w16cid:durableId="913126982">
    <w:abstractNumId w:val="49"/>
  </w:num>
  <w:num w:numId="61" w16cid:durableId="899630238">
    <w:abstractNumId w:val="35"/>
  </w:num>
  <w:num w:numId="62" w16cid:durableId="509681718">
    <w:abstractNumId w:val="60"/>
  </w:num>
  <w:num w:numId="63" w16cid:durableId="1942757092">
    <w:abstractNumId w:val="30"/>
  </w:num>
  <w:num w:numId="64" w16cid:durableId="1560895145">
    <w:abstractNumId w:val="28"/>
  </w:num>
  <w:num w:numId="65" w16cid:durableId="1009719904">
    <w:abstractNumId w:val="14"/>
  </w:num>
  <w:num w:numId="66" w16cid:durableId="740835726">
    <w:abstractNumId w:val="67"/>
  </w:num>
  <w:num w:numId="67" w16cid:durableId="631792758">
    <w:abstractNumId w:val="10"/>
  </w:num>
  <w:num w:numId="68" w16cid:durableId="208300417">
    <w:abstractNumId w:val="46"/>
  </w:num>
  <w:num w:numId="69" w16cid:durableId="877357830">
    <w:abstractNumId w:val="15"/>
  </w:num>
  <w:num w:numId="70" w16cid:durableId="1529638307">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62"/>
    <w:rsid w:val="00000989"/>
    <w:rsid w:val="00001052"/>
    <w:rsid w:val="0000145C"/>
    <w:rsid w:val="000019A8"/>
    <w:rsid w:val="0000316D"/>
    <w:rsid w:val="00007EE4"/>
    <w:rsid w:val="00007FC4"/>
    <w:rsid w:val="00013B56"/>
    <w:rsid w:val="0001468F"/>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44C"/>
    <w:rsid w:val="00032B6B"/>
    <w:rsid w:val="00034314"/>
    <w:rsid w:val="000365B8"/>
    <w:rsid w:val="00041165"/>
    <w:rsid w:val="000415E7"/>
    <w:rsid w:val="00044293"/>
    <w:rsid w:val="00045413"/>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30D2"/>
    <w:rsid w:val="000A43F7"/>
    <w:rsid w:val="000A4774"/>
    <w:rsid w:val="000A5B22"/>
    <w:rsid w:val="000A5C24"/>
    <w:rsid w:val="000A7437"/>
    <w:rsid w:val="000B0430"/>
    <w:rsid w:val="000B062A"/>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6555"/>
    <w:rsid w:val="000C7108"/>
    <w:rsid w:val="000C7EAC"/>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0F73FE"/>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21B1"/>
    <w:rsid w:val="001726A3"/>
    <w:rsid w:val="00172A3A"/>
    <w:rsid w:val="0017370A"/>
    <w:rsid w:val="00174982"/>
    <w:rsid w:val="00174ED5"/>
    <w:rsid w:val="001753CF"/>
    <w:rsid w:val="00175A9D"/>
    <w:rsid w:val="00175DF7"/>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335D"/>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87AD4"/>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7A4"/>
    <w:rsid w:val="002B5EE6"/>
    <w:rsid w:val="002B642D"/>
    <w:rsid w:val="002B68C6"/>
    <w:rsid w:val="002B77B7"/>
    <w:rsid w:val="002B7C23"/>
    <w:rsid w:val="002C0543"/>
    <w:rsid w:val="002C2DE4"/>
    <w:rsid w:val="002C4BC5"/>
    <w:rsid w:val="002C58E4"/>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565E2"/>
    <w:rsid w:val="003603C5"/>
    <w:rsid w:val="00360626"/>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77672"/>
    <w:rsid w:val="00380E15"/>
    <w:rsid w:val="0038176B"/>
    <w:rsid w:val="00381EB4"/>
    <w:rsid w:val="003820E3"/>
    <w:rsid w:val="00382510"/>
    <w:rsid w:val="00383FE4"/>
    <w:rsid w:val="0038537A"/>
    <w:rsid w:val="00390391"/>
    <w:rsid w:val="0039181E"/>
    <w:rsid w:val="00393C52"/>
    <w:rsid w:val="00394CB4"/>
    <w:rsid w:val="00395183"/>
    <w:rsid w:val="00397C75"/>
    <w:rsid w:val="003A1A92"/>
    <w:rsid w:val="003A2BAD"/>
    <w:rsid w:val="003A2E0D"/>
    <w:rsid w:val="003A3622"/>
    <w:rsid w:val="003A4DE5"/>
    <w:rsid w:val="003A5215"/>
    <w:rsid w:val="003A651A"/>
    <w:rsid w:val="003A6C36"/>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133D"/>
    <w:rsid w:val="003E27AB"/>
    <w:rsid w:val="003E2A1F"/>
    <w:rsid w:val="003E5D2D"/>
    <w:rsid w:val="003E5F53"/>
    <w:rsid w:val="003E723F"/>
    <w:rsid w:val="003F2278"/>
    <w:rsid w:val="003F2D50"/>
    <w:rsid w:val="003F4C28"/>
    <w:rsid w:val="003F4D6E"/>
    <w:rsid w:val="003F5034"/>
    <w:rsid w:val="003F510E"/>
    <w:rsid w:val="003F5335"/>
    <w:rsid w:val="003F683C"/>
    <w:rsid w:val="003F6F9F"/>
    <w:rsid w:val="003F7935"/>
    <w:rsid w:val="003F7F96"/>
    <w:rsid w:val="00401783"/>
    <w:rsid w:val="00401CAC"/>
    <w:rsid w:val="00401CD2"/>
    <w:rsid w:val="004024A3"/>
    <w:rsid w:val="00403D30"/>
    <w:rsid w:val="004043BE"/>
    <w:rsid w:val="004045F5"/>
    <w:rsid w:val="00404DA4"/>
    <w:rsid w:val="004051B7"/>
    <w:rsid w:val="0040717F"/>
    <w:rsid w:val="004073C2"/>
    <w:rsid w:val="00410504"/>
    <w:rsid w:val="00412D1A"/>
    <w:rsid w:val="0041453A"/>
    <w:rsid w:val="00414B35"/>
    <w:rsid w:val="00415A28"/>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47EA2"/>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6F0"/>
    <w:rsid w:val="00460D8F"/>
    <w:rsid w:val="00462108"/>
    <w:rsid w:val="004623D7"/>
    <w:rsid w:val="004636BE"/>
    <w:rsid w:val="00464357"/>
    <w:rsid w:val="004658C7"/>
    <w:rsid w:val="004669F8"/>
    <w:rsid w:val="00466A35"/>
    <w:rsid w:val="00466FDE"/>
    <w:rsid w:val="004674DD"/>
    <w:rsid w:val="00467E53"/>
    <w:rsid w:val="00471C0C"/>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874AA"/>
    <w:rsid w:val="00490480"/>
    <w:rsid w:val="00490862"/>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10926"/>
    <w:rsid w:val="00510BDA"/>
    <w:rsid w:val="00510CCC"/>
    <w:rsid w:val="00510D36"/>
    <w:rsid w:val="00510F1E"/>
    <w:rsid w:val="00512CA3"/>
    <w:rsid w:val="00513158"/>
    <w:rsid w:val="00516FFA"/>
    <w:rsid w:val="0052196B"/>
    <w:rsid w:val="005240F7"/>
    <w:rsid w:val="00524848"/>
    <w:rsid w:val="00531EC5"/>
    <w:rsid w:val="00532034"/>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2983"/>
    <w:rsid w:val="00573DEC"/>
    <w:rsid w:val="005741BB"/>
    <w:rsid w:val="00574D45"/>
    <w:rsid w:val="00575800"/>
    <w:rsid w:val="00576B81"/>
    <w:rsid w:val="005773C5"/>
    <w:rsid w:val="00577404"/>
    <w:rsid w:val="0057777D"/>
    <w:rsid w:val="00577811"/>
    <w:rsid w:val="0057798B"/>
    <w:rsid w:val="00580F97"/>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6BE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66B4"/>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1747F"/>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61A6"/>
    <w:rsid w:val="00636A89"/>
    <w:rsid w:val="00637705"/>
    <w:rsid w:val="00641768"/>
    <w:rsid w:val="00641FF6"/>
    <w:rsid w:val="00643D7F"/>
    <w:rsid w:val="00645C63"/>
    <w:rsid w:val="006462E6"/>
    <w:rsid w:val="00646417"/>
    <w:rsid w:val="0064714C"/>
    <w:rsid w:val="006502F7"/>
    <w:rsid w:val="00651B36"/>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A41"/>
    <w:rsid w:val="00663A9B"/>
    <w:rsid w:val="00663D2C"/>
    <w:rsid w:val="00665035"/>
    <w:rsid w:val="00665361"/>
    <w:rsid w:val="006660E3"/>
    <w:rsid w:val="00666388"/>
    <w:rsid w:val="006670A9"/>
    <w:rsid w:val="006672F2"/>
    <w:rsid w:val="00667683"/>
    <w:rsid w:val="006703AE"/>
    <w:rsid w:val="00672581"/>
    <w:rsid w:val="00673F0D"/>
    <w:rsid w:val="00675485"/>
    <w:rsid w:val="00676837"/>
    <w:rsid w:val="00677225"/>
    <w:rsid w:val="006775EF"/>
    <w:rsid w:val="00677B6A"/>
    <w:rsid w:val="00680DF2"/>
    <w:rsid w:val="006811FA"/>
    <w:rsid w:val="00683172"/>
    <w:rsid w:val="00685003"/>
    <w:rsid w:val="00685237"/>
    <w:rsid w:val="006859A7"/>
    <w:rsid w:val="0068745B"/>
    <w:rsid w:val="006877BA"/>
    <w:rsid w:val="00690B44"/>
    <w:rsid w:val="00690E45"/>
    <w:rsid w:val="006926A7"/>
    <w:rsid w:val="006951B5"/>
    <w:rsid w:val="0069537E"/>
    <w:rsid w:val="00697C7F"/>
    <w:rsid w:val="006A1DE9"/>
    <w:rsid w:val="006A2055"/>
    <w:rsid w:val="006A29EB"/>
    <w:rsid w:val="006A3C4E"/>
    <w:rsid w:val="006A5C9A"/>
    <w:rsid w:val="006A6645"/>
    <w:rsid w:val="006A6AF2"/>
    <w:rsid w:val="006A6E7F"/>
    <w:rsid w:val="006B0880"/>
    <w:rsid w:val="006B272F"/>
    <w:rsid w:val="006B3EFF"/>
    <w:rsid w:val="006B5438"/>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3DE6"/>
    <w:rsid w:val="006D4ABB"/>
    <w:rsid w:val="006D4C06"/>
    <w:rsid w:val="006D69C9"/>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304A9"/>
    <w:rsid w:val="0073068F"/>
    <w:rsid w:val="00730937"/>
    <w:rsid w:val="00730A56"/>
    <w:rsid w:val="00730B95"/>
    <w:rsid w:val="00730BD4"/>
    <w:rsid w:val="00731724"/>
    <w:rsid w:val="00731A63"/>
    <w:rsid w:val="00731BAD"/>
    <w:rsid w:val="00732D2B"/>
    <w:rsid w:val="007331AE"/>
    <w:rsid w:val="00735B74"/>
    <w:rsid w:val="00735C10"/>
    <w:rsid w:val="00736285"/>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3B72"/>
    <w:rsid w:val="007E433A"/>
    <w:rsid w:val="007E49FB"/>
    <w:rsid w:val="007E5262"/>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29"/>
    <w:rsid w:val="00812AB3"/>
    <w:rsid w:val="00813487"/>
    <w:rsid w:val="00814741"/>
    <w:rsid w:val="008147BF"/>
    <w:rsid w:val="00814E98"/>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350D4"/>
    <w:rsid w:val="008378F4"/>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09C6"/>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3F2"/>
    <w:rsid w:val="008C0952"/>
    <w:rsid w:val="008C0F96"/>
    <w:rsid w:val="008C1168"/>
    <w:rsid w:val="008C1F15"/>
    <w:rsid w:val="008C2356"/>
    <w:rsid w:val="008C3503"/>
    <w:rsid w:val="008C3EC4"/>
    <w:rsid w:val="008C5CF6"/>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0965"/>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52F08"/>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898"/>
    <w:rsid w:val="009829CA"/>
    <w:rsid w:val="00982C01"/>
    <w:rsid w:val="009853A9"/>
    <w:rsid w:val="009908D7"/>
    <w:rsid w:val="00991AE4"/>
    <w:rsid w:val="00992953"/>
    <w:rsid w:val="0099417A"/>
    <w:rsid w:val="00995256"/>
    <w:rsid w:val="00995695"/>
    <w:rsid w:val="00995E24"/>
    <w:rsid w:val="00995F18"/>
    <w:rsid w:val="00997A74"/>
    <w:rsid w:val="00997AC4"/>
    <w:rsid w:val="009A0827"/>
    <w:rsid w:val="009A150D"/>
    <w:rsid w:val="009A1518"/>
    <w:rsid w:val="009A3898"/>
    <w:rsid w:val="009A4290"/>
    <w:rsid w:val="009A6037"/>
    <w:rsid w:val="009A6A5D"/>
    <w:rsid w:val="009A75C7"/>
    <w:rsid w:val="009A7993"/>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12FE"/>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278B"/>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4CEF"/>
    <w:rsid w:val="00A66180"/>
    <w:rsid w:val="00A66304"/>
    <w:rsid w:val="00A70CF9"/>
    <w:rsid w:val="00A7180A"/>
    <w:rsid w:val="00A71F5E"/>
    <w:rsid w:val="00A7211B"/>
    <w:rsid w:val="00A72557"/>
    <w:rsid w:val="00A7295E"/>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F2E79"/>
    <w:rsid w:val="00AF3494"/>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00C1"/>
    <w:rsid w:val="00B3144F"/>
    <w:rsid w:val="00B31B69"/>
    <w:rsid w:val="00B32A0E"/>
    <w:rsid w:val="00B32B7C"/>
    <w:rsid w:val="00B33DF4"/>
    <w:rsid w:val="00B36876"/>
    <w:rsid w:val="00B37CAE"/>
    <w:rsid w:val="00B4087B"/>
    <w:rsid w:val="00B40AFB"/>
    <w:rsid w:val="00B411DD"/>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0BD9"/>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8FF"/>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E75C0"/>
    <w:rsid w:val="00BF0EF5"/>
    <w:rsid w:val="00BF2B0E"/>
    <w:rsid w:val="00BF2B36"/>
    <w:rsid w:val="00BF6841"/>
    <w:rsid w:val="00C00AE1"/>
    <w:rsid w:val="00C021F4"/>
    <w:rsid w:val="00C02F0B"/>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446"/>
    <w:rsid w:val="00C20D80"/>
    <w:rsid w:val="00C211F8"/>
    <w:rsid w:val="00C2137F"/>
    <w:rsid w:val="00C216D5"/>
    <w:rsid w:val="00C21C49"/>
    <w:rsid w:val="00C25891"/>
    <w:rsid w:val="00C259ED"/>
    <w:rsid w:val="00C2601D"/>
    <w:rsid w:val="00C2625E"/>
    <w:rsid w:val="00C262C7"/>
    <w:rsid w:val="00C26F3D"/>
    <w:rsid w:val="00C27130"/>
    <w:rsid w:val="00C3039A"/>
    <w:rsid w:val="00C304D8"/>
    <w:rsid w:val="00C3098E"/>
    <w:rsid w:val="00C321E9"/>
    <w:rsid w:val="00C326E0"/>
    <w:rsid w:val="00C333DE"/>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594B"/>
    <w:rsid w:val="00C66D74"/>
    <w:rsid w:val="00C67402"/>
    <w:rsid w:val="00C67833"/>
    <w:rsid w:val="00C67BD4"/>
    <w:rsid w:val="00C7476B"/>
    <w:rsid w:val="00C74CBF"/>
    <w:rsid w:val="00C75D16"/>
    <w:rsid w:val="00C75D62"/>
    <w:rsid w:val="00C75ED1"/>
    <w:rsid w:val="00C77C5B"/>
    <w:rsid w:val="00C80297"/>
    <w:rsid w:val="00C82945"/>
    <w:rsid w:val="00C8294B"/>
    <w:rsid w:val="00C84433"/>
    <w:rsid w:val="00C84760"/>
    <w:rsid w:val="00C857D7"/>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294"/>
    <w:rsid w:val="00D02D99"/>
    <w:rsid w:val="00D02E9F"/>
    <w:rsid w:val="00D03B72"/>
    <w:rsid w:val="00D04446"/>
    <w:rsid w:val="00D04976"/>
    <w:rsid w:val="00D05F78"/>
    <w:rsid w:val="00D05F91"/>
    <w:rsid w:val="00D0789F"/>
    <w:rsid w:val="00D07ECF"/>
    <w:rsid w:val="00D07FDE"/>
    <w:rsid w:val="00D104AD"/>
    <w:rsid w:val="00D10A2E"/>
    <w:rsid w:val="00D10D87"/>
    <w:rsid w:val="00D1150D"/>
    <w:rsid w:val="00D12B30"/>
    <w:rsid w:val="00D13C0D"/>
    <w:rsid w:val="00D14456"/>
    <w:rsid w:val="00D16C77"/>
    <w:rsid w:val="00D170AF"/>
    <w:rsid w:val="00D174D8"/>
    <w:rsid w:val="00D20E5A"/>
    <w:rsid w:val="00D216BC"/>
    <w:rsid w:val="00D2258C"/>
    <w:rsid w:val="00D22F48"/>
    <w:rsid w:val="00D24076"/>
    <w:rsid w:val="00D24A9A"/>
    <w:rsid w:val="00D24AA4"/>
    <w:rsid w:val="00D25286"/>
    <w:rsid w:val="00D25959"/>
    <w:rsid w:val="00D25BF5"/>
    <w:rsid w:val="00D26F61"/>
    <w:rsid w:val="00D27656"/>
    <w:rsid w:val="00D3101C"/>
    <w:rsid w:val="00D31A8F"/>
    <w:rsid w:val="00D31F4C"/>
    <w:rsid w:val="00D321AE"/>
    <w:rsid w:val="00D32749"/>
    <w:rsid w:val="00D32972"/>
    <w:rsid w:val="00D33A77"/>
    <w:rsid w:val="00D33EA0"/>
    <w:rsid w:val="00D34CBC"/>
    <w:rsid w:val="00D35AD8"/>
    <w:rsid w:val="00D404CF"/>
    <w:rsid w:val="00D40F7B"/>
    <w:rsid w:val="00D410C8"/>
    <w:rsid w:val="00D41AE0"/>
    <w:rsid w:val="00D422A0"/>
    <w:rsid w:val="00D42C75"/>
    <w:rsid w:val="00D43176"/>
    <w:rsid w:val="00D432D2"/>
    <w:rsid w:val="00D4480E"/>
    <w:rsid w:val="00D45611"/>
    <w:rsid w:val="00D5008F"/>
    <w:rsid w:val="00D51925"/>
    <w:rsid w:val="00D52E62"/>
    <w:rsid w:val="00D52ED4"/>
    <w:rsid w:val="00D55B50"/>
    <w:rsid w:val="00D55E2C"/>
    <w:rsid w:val="00D5601F"/>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287A"/>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4B8B"/>
    <w:rsid w:val="00DC595D"/>
    <w:rsid w:val="00DC624A"/>
    <w:rsid w:val="00DC6829"/>
    <w:rsid w:val="00DC78D8"/>
    <w:rsid w:val="00DC7FDA"/>
    <w:rsid w:val="00DD1071"/>
    <w:rsid w:val="00DD170E"/>
    <w:rsid w:val="00DD2EAF"/>
    <w:rsid w:val="00DD373D"/>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4EB"/>
    <w:rsid w:val="00E3068A"/>
    <w:rsid w:val="00E308F1"/>
    <w:rsid w:val="00E31458"/>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6F7"/>
    <w:rsid w:val="00E63DD1"/>
    <w:rsid w:val="00E65086"/>
    <w:rsid w:val="00E6586E"/>
    <w:rsid w:val="00E65C50"/>
    <w:rsid w:val="00E65EE2"/>
    <w:rsid w:val="00E6655D"/>
    <w:rsid w:val="00E665B0"/>
    <w:rsid w:val="00E66AC3"/>
    <w:rsid w:val="00E66FC7"/>
    <w:rsid w:val="00E671E6"/>
    <w:rsid w:val="00E7143A"/>
    <w:rsid w:val="00E71A54"/>
    <w:rsid w:val="00E7248A"/>
    <w:rsid w:val="00E72BC1"/>
    <w:rsid w:val="00E73653"/>
    <w:rsid w:val="00E752F7"/>
    <w:rsid w:val="00E753BC"/>
    <w:rsid w:val="00E757D8"/>
    <w:rsid w:val="00E75897"/>
    <w:rsid w:val="00E75E3B"/>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39B"/>
    <w:rsid w:val="00EC1E2F"/>
    <w:rsid w:val="00EC34CB"/>
    <w:rsid w:val="00EC463B"/>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21DC"/>
    <w:rsid w:val="00EE69EA"/>
    <w:rsid w:val="00EE6BF7"/>
    <w:rsid w:val="00EF011D"/>
    <w:rsid w:val="00EF16A1"/>
    <w:rsid w:val="00EF34B7"/>
    <w:rsid w:val="00EF38A6"/>
    <w:rsid w:val="00EF413C"/>
    <w:rsid w:val="00EF4CD1"/>
    <w:rsid w:val="00EF6F07"/>
    <w:rsid w:val="00EF766A"/>
    <w:rsid w:val="00F0010F"/>
    <w:rsid w:val="00F00E51"/>
    <w:rsid w:val="00F016CF"/>
    <w:rsid w:val="00F01F56"/>
    <w:rsid w:val="00F0546B"/>
    <w:rsid w:val="00F05D5B"/>
    <w:rsid w:val="00F0619C"/>
    <w:rsid w:val="00F077D3"/>
    <w:rsid w:val="00F103BC"/>
    <w:rsid w:val="00F123E3"/>
    <w:rsid w:val="00F1274A"/>
    <w:rsid w:val="00F139C6"/>
    <w:rsid w:val="00F14001"/>
    <w:rsid w:val="00F17C74"/>
    <w:rsid w:val="00F20200"/>
    <w:rsid w:val="00F207DD"/>
    <w:rsid w:val="00F2190D"/>
    <w:rsid w:val="00F2400A"/>
    <w:rsid w:val="00F2788C"/>
    <w:rsid w:val="00F27E77"/>
    <w:rsid w:val="00F30F9E"/>
    <w:rsid w:val="00F32375"/>
    <w:rsid w:val="00F339D4"/>
    <w:rsid w:val="00F355D5"/>
    <w:rsid w:val="00F35D7B"/>
    <w:rsid w:val="00F36389"/>
    <w:rsid w:val="00F3659D"/>
    <w:rsid w:val="00F3666E"/>
    <w:rsid w:val="00F36B0B"/>
    <w:rsid w:val="00F37446"/>
    <w:rsid w:val="00F41150"/>
    <w:rsid w:val="00F42C36"/>
    <w:rsid w:val="00F4304C"/>
    <w:rsid w:val="00F4337D"/>
    <w:rsid w:val="00F43668"/>
    <w:rsid w:val="00F44101"/>
    <w:rsid w:val="00F45B5C"/>
    <w:rsid w:val="00F46BA8"/>
    <w:rsid w:val="00F47B05"/>
    <w:rsid w:val="00F51818"/>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A89"/>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1B2C3A22-D398-4090-A7E3-0C56AD03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customStyle="1" w:styleId="Nierozpoznanawzmianka1">
    <w:name w:val="Nierozpoznana wzmianka1"/>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283339444">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v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tender/76194/summary" TargetMode="External"/><Relationship Id="rId4" Type="http://schemas.openxmlformats.org/officeDocument/2006/relationships/settings" Target="settings.xml"/><Relationship Id="rId9" Type="http://schemas.openxmlformats.org/officeDocument/2006/relationships/hyperlink" Target="https://www.glusiotwoc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CAE8-156F-458E-976C-BEA62A0E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11789</Words>
  <Characters>70736</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Te Ko</cp:lastModifiedBy>
  <cp:revision>3</cp:revision>
  <cp:lastPrinted>2023-09-20T15:09:00Z</cp:lastPrinted>
  <dcterms:created xsi:type="dcterms:W3CDTF">2026-04-24T15:22:00Z</dcterms:created>
  <dcterms:modified xsi:type="dcterms:W3CDTF">2026-04-24T15:23:00Z</dcterms:modified>
</cp:coreProperties>
</file>