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8A93" w14:textId="77777777" w:rsidR="00296F22" w:rsidRPr="000B49E6" w:rsidRDefault="00296F22">
      <w:pPr>
        <w:pStyle w:val="Nadpis5"/>
        <w:rPr>
          <w:noProof w:val="0"/>
        </w:rPr>
      </w:pPr>
      <w:bookmarkStart w:id="0" w:name="ROB_nazov"/>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bookmarkStart w:id="1" w:name="_MON_1652765020"/>
    <w:bookmarkEnd w:id="1"/>
    <w:p w14:paraId="07EA7B7F" w14:textId="293315DD" w:rsidR="00F513A7" w:rsidRPr="00F513A7" w:rsidRDefault="00F513A7" w:rsidP="00F513A7">
      <w:pPr>
        <w:pStyle w:val="Zkladntext3"/>
        <w:rPr>
          <w:rFonts w:cs="Arial"/>
          <w:noProof w:val="0"/>
          <w:color w:val="auto"/>
          <w:sz w:val="30"/>
          <w:szCs w:val="30"/>
        </w:rPr>
      </w:pPr>
      <w:r>
        <w:rPr>
          <w:rFonts w:cs="Arial"/>
          <w:noProof w:val="0"/>
          <w:color w:val="auto"/>
          <w:sz w:val="30"/>
          <w:szCs w:val="30"/>
        </w:rPr>
        <w:object w:dxaOrig="9072" w:dyaOrig="13988" w14:anchorId="1C93A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698.4pt" o:ole="">
            <v:imagedata r:id="rId8" o:title=""/>
          </v:shape>
          <o:OLEObject Type="Embed" ProgID="Word.Document.12" ShapeID="_x0000_i1025" DrawAspect="Content" ObjectID="_1714294981" r:id="rId9">
            <o:FieldCodes>\s</o:FieldCodes>
          </o:OLEObject>
        </w:object>
      </w:r>
      <w:r w:rsidR="0027643E">
        <w:rPr>
          <w:rFonts w:cs="Arial"/>
        </w:rPr>
        <w:t xml:space="preserve">       </w:t>
      </w:r>
    </w:p>
    <w:p w14:paraId="43A4A2BA" w14:textId="77777777" w:rsidR="00F513A7" w:rsidRDefault="00F513A7"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256A7C">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256A7C">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256A7C">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256A7C">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256A7C">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256A7C">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256A7C">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256A7C">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256A7C">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256A7C">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256A7C">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256A7C">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256A7C">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256A7C">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256A7C">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256A7C">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256A7C">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256A7C">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256A7C">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256A7C">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256A7C">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256A7C">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256A7C">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256A7C">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256A7C">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256A7C">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256A7C">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256A7C">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256A7C">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256A7C">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256A7C">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256A7C">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256A7C">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256A7C">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256A7C">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256A7C">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256A7C">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256A7C">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256A7C">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256A7C">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256A7C">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256A7C">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4342B0CE" w14:textId="3E371FA0" w:rsidR="00A112C9" w:rsidRDefault="00256A7C" w:rsidP="00044E9A">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4FFB852B" w14:textId="19D58180" w:rsidR="00A112C9" w:rsidRDefault="00256A7C">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044E9A">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sidR="00441CDF">
          <w:rPr>
            <w:webHidden/>
          </w:rPr>
          <w:t>24</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2"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2"/>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3" w:name="_Toc16684706"/>
      <w:r>
        <w:rPr>
          <w:lang w:eastAsia="cs-CZ"/>
        </w:rPr>
        <w:t>I</w:t>
      </w:r>
      <w:r w:rsidR="00B204E1" w:rsidRPr="00B204E1">
        <w:rPr>
          <w:lang w:eastAsia="cs-CZ"/>
        </w:rPr>
        <w:t>dentifikácia obstarávateľ</w:t>
      </w:r>
      <w:r>
        <w:rPr>
          <w:lang w:eastAsia="cs-CZ"/>
        </w:rPr>
        <w:t>skej organizácie</w:t>
      </w:r>
      <w:bookmarkEnd w:id="3"/>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10"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11"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2A8F8D12" w:rsidR="00A93205" w:rsidRPr="00C62663" w:rsidRDefault="00A93205" w:rsidP="00A93205">
      <w:pPr>
        <w:ind w:firstLine="709"/>
      </w:pPr>
      <w:r w:rsidRPr="00C62663">
        <w:t>Kontaktná osoba:</w:t>
      </w:r>
      <w:r w:rsidRPr="00C62663">
        <w:tab/>
      </w:r>
      <w:r w:rsidR="00A64F38">
        <w:t>PhDr. Kristína Juhászová</w:t>
      </w:r>
    </w:p>
    <w:p w14:paraId="49D3C852" w14:textId="7F64CEA4" w:rsidR="00A93205" w:rsidRPr="00C62663" w:rsidRDefault="00A93205" w:rsidP="00A93205">
      <w:pPr>
        <w:ind w:firstLine="709"/>
      </w:pPr>
      <w:r w:rsidRPr="00C62663">
        <w:t>Telefón:</w:t>
      </w:r>
      <w:r w:rsidRPr="00C62663">
        <w:tab/>
      </w:r>
      <w:r w:rsidRPr="00C62663">
        <w:tab/>
        <w:t>+421</w:t>
      </w:r>
      <w:r>
        <w:t> </w:t>
      </w:r>
      <w:r w:rsidR="00A64F38">
        <w:t>2 59 50 1428</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02A6FDE9" w:rsidR="00A93205" w:rsidRPr="00C62663" w:rsidRDefault="00A93205" w:rsidP="00A93205">
      <w:pPr>
        <w:ind w:firstLine="709"/>
      </w:pPr>
      <w:r w:rsidRPr="00C62663">
        <w:t>E-mail:</w:t>
      </w:r>
      <w:r w:rsidRPr="00C62663">
        <w:tab/>
      </w:r>
      <w:r w:rsidRPr="00C62663">
        <w:tab/>
      </w:r>
      <w:r w:rsidRPr="00C62663">
        <w:tab/>
      </w:r>
      <w:r w:rsidR="00657FA8">
        <w:rPr>
          <w:rStyle w:val="Hypertextovprepojenie"/>
        </w:rPr>
        <w:t>juhaszova.kristina@dpb.sk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4" w:name="_Toc16684707"/>
      <w:bookmarkStart w:id="5" w:name="_Hlk522971590"/>
      <w:r w:rsidRPr="00B204E1">
        <w:rPr>
          <w:rFonts w:eastAsia="Calibri"/>
          <w:lang w:eastAsia="en-US"/>
        </w:rPr>
        <w:t>VŠEOBECNÉ INFORMÁCIE</w:t>
      </w:r>
      <w:bookmarkEnd w:id="4"/>
    </w:p>
    <w:p w14:paraId="74223883" w14:textId="4CDD8BF4" w:rsidR="00B204E1" w:rsidRPr="00B204E1" w:rsidRDefault="00A93205" w:rsidP="00A93205">
      <w:pPr>
        <w:pStyle w:val="Nadpis2"/>
        <w:numPr>
          <w:ilvl w:val="0"/>
          <w:numId w:val="15"/>
        </w:numPr>
        <w:jc w:val="left"/>
        <w:rPr>
          <w:rFonts w:cs="Arial"/>
        </w:rPr>
      </w:pPr>
      <w:bookmarkStart w:id="6" w:name="_Toc16684708"/>
      <w:r>
        <w:t>S</w:t>
      </w:r>
      <w:r w:rsidR="00B204E1" w:rsidRPr="00B204E1">
        <w:t>pôsob fungovania dynamického nákupného systému</w:t>
      </w:r>
      <w:bookmarkEnd w:id="6"/>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7" w:name="_Toc16684709"/>
      <w:bookmarkStart w:id="8" w:name="_Hlk522971822"/>
      <w:bookmarkEnd w:id="5"/>
      <w:r>
        <w:t>P</w:t>
      </w:r>
      <w:r w:rsidR="00B204E1" w:rsidRPr="00A93205">
        <w:rPr>
          <w:rFonts w:eastAsia="Calibri"/>
          <w:lang w:eastAsia="en-US"/>
        </w:rPr>
        <w:t>odmienky používania elektronických zariadení v rámci dynamického nákupného systému</w:t>
      </w:r>
      <w:bookmarkEnd w:id="7"/>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9"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8"/>
    </w:p>
    <w:bookmarkEnd w:id="9"/>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10"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10"/>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2"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3"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4"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1"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1"/>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4AF31F9E" w14:textId="0ABE8B64" w:rsidR="004A3D36" w:rsidRPr="004A3D36" w:rsidRDefault="004A3D36" w:rsidP="004A3D36">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249A9F76" w14:textId="77777777" w:rsidR="00B204E1" w:rsidRPr="00B204E1" w:rsidRDefault="00B204E1"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2" w:name="_Toc16684711"/>
      <w:r w:rsidRPr="00B204E1">
        <w:rPr>
          <w:lang w:eastAsia="cs-CZ"/>
        </w:rPr>
        <w:t>INFORMÁCIE O PREDMETE ZÁKAZKY</w:t>
      </w:r>
      <w:bookmarkEnd w:id="12"/>
    </w:p>
    <w:p w14:paraId="0D8B8A22" w14:textId="2081BDCF" w:rsidR="00B204E1" w:rsidRPr="00B204E1" w:rsidRDefault="004B28B5" w:rsidP="004B28B5">
      <w:pPr>
        <w:pStyle w:val="Nadpis2"/>
        <w:numPr>
          <w:ilvl w:val="0"/>
          <w:numId w:val="15"/>
        </w:numPr>
        <w:jc w:val="left"/>
        <w:rPr>
          <w:lang w:eastAsia="cs-CZ"/>
        </w:rPr>
      </w:pPr>
      <w:bookmarkStart w:id="13" w:name="_Toc16684712"/>
      <w:r>
        <w:rPr>
          <w:lang w:eastAsia="cs-CZ"/>
        </w:rPr>
        <w:t>P</w:t>
      </w:r>
      <w:r w:rsidR="00B204E1" w:rsidRPr="00B204E1">
        <w:rPr>
          <w:lang w:eastAsia="cs-CZ"/>
        </w:rPr>
        <w:t>redmet zákazky</w:t>
      </w:r>
      <w:bookmarkEnd w:id="13"/>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0413014C" w14:textId="77777777" w:rsidR="00657FA8" w:rsidRPr="00E034C4" w:rsidRDefault="00B204E1" w:rsidP="003B5AEE">
      <w:pPr>
        <w:numPr>
          <w:ilvl w:val="1"/>
          <w:numId w:val="8"/>
        </w:numPr>
        <w:tabs>
          <w:tab w:val="left" w:pos="2160"/>
          <w:tab w:val="left" w:pos="2880"/>
          <w:tab w:val="left" w:pos="4500"/>
        </w:tabs>
        <w:spacing w:line="276" w:lineRule="auto"/>
        <w:jc w:val="both"/>
        <w:rPr>
          <w:rFonts w:cs="Arial"/>
          <w:sz w:val="22"/>
        </w:rPr>
      </w:pPr>
      <w:r w:rsidRPr="00657FA8">
        <w:rPr>
          <w:rFonts w:cs="Arial"/>
          <w:sz w:val="22"/>
          <w:szCs w:val="22"/>
        </w:rPr>
        <w:t xml:space="preserve">Názov predmetu zákazky: </w:t>
      </w:r>
      <w:r w:rsidR="00657FA8" w:rsidRPr="00E034C4">
        <w:rPr>
          <w:b/>
        </w:rPr>
        <w:t>Koľaje, koľajové výhybky, výmeny, križovatky, vyhybkové systémy</w:t>
      </w:r>
    </w:p>
    <w:p w14:paraId="3361A23D" w14:textId="68EA6AE0" w:rsidR="00B204E1" w:rsidRPr="00657FA8" w:rsidRDefault="00B204E1" w:rsidP="003B5AEE">
      <w:pPr>
        <w:numPr>
          <w:ilvl w:val="1"/>
          <w:numId w:val="8"/>
        </w:numPr>
        <w:tabs>
          <w:tab w:val="left" w:pos="2160"/>
          <w:tab w:val="left" w:pos="2880"/>
          <w:tab w:val="left" w:pos="4500"/>
        </w:tabs>
        <w:spacing w:line="276" w:lineRule="auto"/>
        <w:jc w:val="both"/>
        <w:rPr>
          <w:rFonts w:cs="Arial"/>
          <w:sz w:val="22"/>
        </w:rPr>
      </w:pPr>
      <w:r w:rsidRPr="00657FA8">
        <w:rPr>
          <w:rFonts w:cs="Arial"/>
          <w:sz w:val="22"/>
        </w:rPr>
        <w:t xml:space="preserve">Povaha predpokladaných nákupov v rámci dynamického nákupného systému: </w:t>
      </w:r>
    </w:p>
    <w:p w14:paraId="4399D0F5" w14:textId="7B4285F8" w:rsidR="00B204E1" w:rsidRP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 xml:space="preserve">Povaha predpokladaných nákupov v rámci dynamického nákupného systému tvorí prílohu č. 1. </w:t>
      </w:r>
      <w:r w:rsidR="00657FA8">
        <w:rPr>
          <w:rFonts w:cs="Arial"/>
          <w:sz w:val="22"/>
        </w:rPr>
        <w:t xml:space="preserve">  </w:t>
      </w:r>
      <w:r w:rsidRPr="00B204E1">
        <w:rPr>
          <w:rFonts w:cs="Arial"/>
          <w:sz w:val="22"/>
        </w:rPr>
        <w:t>Predmet zákazky</w:t>
      </w:r>
      <w:r w:rsidRPr="00B204E1">
        <w:rPr>
          <w:rFonts w:cs="Arial"/>
          <w:color w:val="000000"/>
          <w:sz w:val="22"/>
        </w:rPr>
        <w:t xml:space="preserve"> týchto súťažných podkladov.</w:t>
      </w:r>
    </w:p>
    <w:p w14:paraId="283C4327" w14:textId="610EB456" w:rsidR="00B204E1" w:rsidRPr="00B204E1" w:rsidRDefault="00067B13" w:rsidP="00067B13">
      <w:pPr>
        <w:pStyle w:val="Nadpis2"/>
        <w:numPr>
          <w:ilvl w:val="0"/>
          <w:numId w:val="15"/>
        </w:numPr>
        <w:jc w:val="both"/>
        <w:rPr>
          <w:lang w:eastAsia="cs-CZ"/>
        </w:rPr>
      </w:pPr>
      <w:bookmarkStart w:id="14" w:name="nazov1"/>
      <w:bookmarkStart w:id="15" w:name="_Toc16684713"/>
      <w:bookmarkEnd w:id="14"/>
      <w:r>
        <w:rPr>
          <w:lang w:eastAsia="cs-CZ"/>
        </w:rPr>
        <w:lastRenderedPageBreak/>
        <w:t>R</w:t>
      </w:r>
      <w:r w:rsidR="00B204E1" w:rsidRPr="00B204E1">
        <w:rPr>
          <w:lang w:eastAsia="cs-CZ"/>
        </w:rPr>
        <w:t>ozsah zákazky podľa skupiny alebo jej časti zadávanej v rámci dynamického nákupného systému vymedzený cpv kódmi</w:t>
      </w:r>
      <w:bookmarkEnd w:id="15"/>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2AE9009E" w14:textId="4885F281" w:rsidR="00B204E1" w:rsidRPr="00B204E1" w:rsidRDefault="00B204E1" w:rsidP="00067B13">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6" w:name="SS"/>
      <w:bookmarkEnd w:id="16"/>
    </w:p>
    <w:p w14:paraId="47C971E2" w14:textId="5A23833E" w:rsidR="00B204E1" w:rsidRPr="00D35129" w:rsidRDefault="00B204E1" w:rsidP="00B204E1">
      <w:pPr>
        <w:spacing w:line="276" w:lineRule="auto"/>
        <w:ind w:left="3402"/>
        <w:jc w:val="both"/>
        <w:rPr>
          <w:rFonts w:cs="Arial"/>
          <w:sz w:val="22"/>
          <w:szCs w:val="22"/>
        </w:rPr>
      </w:pPr>
      <w:r w:rsidRPr="00D35129">
        <w:rPr>
          <w:rFonts w:cs="Arial"/>
          <w:sz w:val="22"/>
          <w:szCs w:val="22"/>
        </w:rPr>
        <w:t>Hlavný slovník:</w:t>
      </w:r>
      <w:r w:rsidRPr="00D35129">
        <w:rPr>
          <w:rFonts w:cs="Arial"/>
          <w:sz w:val="22"/>
          <w:szCs w:val="22"/>
        </w:rPr>
        <w:tab/>
      </w:r>
      <w:r w:rsidRPr="00D35129">
        <w:rPr>
          <w:rFonts w:cs="Arial"/>
          <w:sz w:val="22"/>
          <w:szCs w:val="22"/>
        </w:rPr>
        <w:tab/>
      </w:r>
      <w:r w:rsidRPr="00D35129">
        <w:rPr>
          <w:rFonts w:cs="Arial"/>
          <w:sz w:val="22"/>
          <w:szCs w:val="22"/>
        </w:rPr>
        <w:tab/>
      </w:r>
      <w:r w:rsidRPr="00D35129">
        <w:rPr>
          <w:rFonts w:cs="Arial"/>
          <w:sz w:val="22"/>
          <w:szCs w:val="22"/>
        </w:rPr>
        <w:tab/>
      </w:r>
    </w:p>
    <w:p w14:paraId="0AD7EB29" w14:textId="0B50E9CA" w:rsidR="00A5375E" w:rsidRPr="002914FF" w:rsidRDefault="00B204E1" w:rsidP="00A5375E">
      <w:pPr>
        <w:spacing w:line="276" w:lineRule="auto"/>
        <w:ind w:left="567"/>
        <w:jc w:val="both"/>
        <w:rPr>
          <w:bCs/>
          <w:sz w:val="20"/>
          <w:szCs w:val="20"/>
        </w:rPr>
      </w:pPr>
      <w:r w:rsidRPr="00D35129">
        <w:rPr>
          <w:rFonts w:cs="Arial"/>
          <w:sz w:val="22"/>
          <w:szCs w:val="22"/>
        </w:rPr>
        <w:t>Hlavný predmet:</w:t>
      </w:r>
      <w:r w:rsidRPr="00D35129">
        <w:rPr>
          <w:rFonts w:cs="Arial"/>
          <w:sz w:val="22"/>
          <w:szCs w:val="22"/>
        </w:rPr>
        <w:tab/>
      </w:r>
      <w:r w:rsidRPr="00D35129">
        <w:rPr>
          <w:rFonts w:cs="Arial"/>
          <w:sz w:val="22"/>
          <w:szCs w:val="22"/>
        </w:rPr>
        <w:tab/>
      </w:r>
      <w:r w:rsidR="00A5375E">
        <w:rPr>
          <w:rFonts w:cs="Arial"/>
          <w:sz w:val="22"/>
          <w:szCs w:val="22"/>
        </w:rPr>
        <w:t xml:space="preserve">          </w:t>
      </w:r>
      <w:r w:rsidR="002914FF">
        <w:rPr>
          <w:rFonts w:cs="Arial"/>
          <w:sz w:val="22"/>
          <w:szCs w:val="22"/>
        </w:rPr>
        <w:t xml:space="preserve"> </w:t>
      </w:r>
      <w:r w:rsidR="00A5375E" w:rsidRPr="002914FF">
        <w:rPr>
          <w:bCs/>
          <w:sz w:val="20"/>
          <w:szCs w:val="20"/>
        </w:rPr>
        <w:t>34946220-8 Hrotnice, križovatky, výhybky a súčasti križovatiek</w:t>
      </w:r>
    </w:p>
    <w:p w14:paraId="5A00E382" w14:textId="77777777" w:rsidR="00A5375E" w:rsidRPr="002914FF" w:rsidRDefault="00A5375E" w:rsidP="00A5375E">
      <w:pPr>
        <w:spacing w:line="276" w:lineRule="auto"/>
        <w:ind w:left="2836"/>
        <w:jc w:val="both"/>
        <w:rPr>
          <w:bCs/>
          <w:sz w:val="20"/>
          <w:szCs w:val="20"/>
        </w:rPr>
      </w:pPr>
      <w:r w:rsidRPr="002914FF">
        <w:rPr>
          <w:bCs/>
          <w:sz w:val="20"/>
          <w:szCs w:val="20"/>
        </w:rPr>
        <w:t xml:space="preserve">            34946222-2- Srdcovky</w:t>
      </w:r>
    </w:p>
    <w:p w14:paraId="61AA93FE" w14:textId="77777777" w:rsidR="00D933CE" w:rsidRDefault="00A5375E" w:rsidP="00A5375E">
      <w:pPr>
        <w:spacing w:line="276" w:lineRule="auto"/>
        <w:ind w:left="2836"/>
        <w:jc w:val="both"/>
        <w:rPr>
          <w:bCs/>
          <w:sz w:val="20"/>
          <w:szCs w:val="20"/>
        </w:rPr>
      </w:pPr>
      <w:r w:rsidRPr="002914FF">
        <w:rPr>
          <w:bCs/>
          <w:sz w:val="20"/>
          <w:szCs w:val="20"/>
        </w:rPr>
        <w:t xml:space="preserve">            34946223-9- Výhybky</w:t>
      </w:r>
    </w:p>
    <w:p w14:paraId="4F06E1EE" w14:textId="6EB4BB7A" w:rsidR="00B204E1" w:rsidRPr="002914FF" w:rsidRDefault="00D933CE" w:rsidP="00D933CE">
      <w:pPr>
        <w:spacing w:line="276" w:lineRule="auto"/>
        <w:ind w:left="2836"/>
        <w:jc w:val="both"/>
        <w:rPr>
          <w:bCs/>
          <w:sz w:val="20"/>
          <w:szCs w:val="20"/>
        </w:rPr>
      </w:pPr>
      <w:r>
        <w:rPr>
          <w:bCs/>
          <w:sz w:val="20"/>
          <w:szCs w:val="20"/>
        </w:rPr>
        <w:t xml:space="preserve">            </w:t>
      </w:r>
      <w:r w:rsidR="00A5375E" w:rsidRPr="002914FF">
        <w:rPr>
          <w:bCs/>
          <w:sz w:val="20"/>
          <w:szCs w:val="20"/>
        </w:rPr>
        <w:t>31720000-9-Elektromechanické zariadenia</w:t>
      </w:r>
    </w:p>
    <w:p w14:paraId="5767FCB5" w14:textId="77777777" w:rsidR="00A5375E" w:rsidRPr="00B204E1" w:rsidRDefault="00A5375E" w:rsidP="00A5375E">
      <w:pPr>
        <w:spacing w:line="276" w:lineRule="auto"/>
        <w:ind w:left="2836"/>
        <w:jc w:val="both"/>
        <w:rPr>
          <w:rFonts w:cs="Arial"/>
          <w:sz w:val="16"/>
          <w:szCs w:val="16"/>
        </w:rPr>
      </w:pPr>
    </w:p>
    <w:p w14:paraId="56163E01" w14:textId="53E6D21F" w:rsidR="00B204E1" w:rsidRPr="00B204E1" w:rsidRDefault="003C0DB0" w:rsidP="003C0DB0">
      <w:pPr>
        <w:pStyle w:val="Nadpis2"/>
        <w:numPr>
          <w:ilvl w:val="0"/>
          <w:numId w:val="15"/>
        </w:numPr>
        <w:jc w:val="left"/>
        <w:rPr>
          <w:lang w:eastAsia="cs-CZ"/>
        </w:rPr>
      </w:pPr>
      <w:bookmarkStart w:id="17" w:name="opis1"/>
      <w:bookmarkStart w:id="18" w:name="_Toc16684714"/>
      <w:bookmarkEnd w:id="17"/>
      <w:r>
        <w:rPr>
          <w:lang w:eastAsia="cs-CZ"/>
        </w:rPr>
        <w:t>M</w:t>
      </w:r>
      <w:r w:rsidR="00B204E1" w:rsidRPr="00B204E1">
        <w:rPr>
          <w:lang w:eastAsia="cs-CZ"/>
        </w:rPr>
        <w:t>iesto poskytnutia predmetu zákazky</w:t>
      </w:r>
      <w:bookmarkEnd w:id="18"/>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20DC7825" w14:textId="3A259C5C" w:rsidR="00B204E1" w:rsidRPr="00A5375E" w:rsidRDefault="00A5375E" w:rsidP="00B204E1">
      <w:pPr>
        <w:spacing w:line="276" w:lineRule="auto"/>
        <w:ind w:left="426" w:hanging="66"/>
        <w:jc w:val="both"/>
        <w:rPr>
          <w:rFonts w:cs="Arial"/>
          <w:sz w:val="22"/>
          <w:szCs w:val="22"/>
        </w:rPr>
      </w:pPr>
      <w:r w:rsidRPr="00A5375E">
        <w:rPr>
          <w:sz w:val="22"/>
          <w:szCs w:val="22"/>
        </w:rPr>
        <w:t>Hlavný sklad, vozovňa Trnávka, Rožňavská 19, 831 04 Bratislava</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9"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9"/>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20" w:name="lehota_dodania"/>
      <w:bookmarkEnd w:id="20"/>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5693FF1F"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06AF33B7" w14:textId="0A5FA11E" w:rsidR="00044E9A" w:rsidRDefault="00044E9A" w:rsidP="00B204E1">
      <w:pPr>
        <w:shd w:val="clear" w:color="auto" w:fill="FFFFFF"/>
        <w:spacing w:line="276" w:lineRule="auto"/>
        <w:ind w:left="426"/>
        <w:jc w:val="both"/>
        <w:rPr>
          <w:rFonts w:eastAsia="Calibri" w:cs="Arial"/>
          <w:sz w:val="22"/>
          <w:szCs w:val="22"/>
          <w:lang w:eastAsia="en-US"/>
        </w:rPr>
      </w:pPr>
    </w:p>
    <w:p w14:paraId="598840C4" w14:textId="77777777" w:rsidR="00044E9A" w:rsidRPr="00B204E1" w:rsidRDefault="00044E9A" w:rsidP="00044E9A">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11B4A0C4" w14:textId="77777777" w:rsidR="00044E9A" w:rsidRPr="00B204E1" w:rsidRDefault="00044E9A" w:rsidP="00B204E1">
      <w:pPr>
        <w:shd w:val="clear" w:color="auto" w:fill="FFFFFF"/>
        <w:spacing w:line="276" w:lineRule="auto"/>
        <w:ind w:left="426"/>
        <w:jc w:val="both"/>
        <w:rPr>
          <w:rFonts w:eastAsia="Calibri" w:cs="Arial"/>
          <w:sz w:val="22"/>
          <w:szCs w:val="22"/>
          <w:lang w:eastAsia="en-US"/>
        </w:rPr>
      </w:pP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End w:id="21"/>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2" w:name="financovanie"/>
      <w:bookmarkEnd w:id="22"/>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1BF9DCF9"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81456F">
        <w:rPr>
          <w:rFonts w:cs="Arial"/>
          <w:b/>
          <w:color w:val="000000" w:themeColor="text1"/>
          <w:sz w:val="22"/>
          <w:szCs w:val="22"/>
        </w:rPr>
        <w:t>6 108  311,00</w:t>
      </w:r>
      <w:r w:rsidR="00D35129" w:rsidRPr="00D3512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B204E1">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lastRenderedPageBreak/>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6" w:name="_Toc16684720"/>
      <w:r>
        <w:t>O</w:t>
      </w:r>
      <w:r w:rsidR="00B204E1" w:rsidRPr="003C0DB0">
        <w:t>bsah žiadosti o účasť</w:t>
      </w:r>
      <w:bookmarkEnd w:id="26"/>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512571C9"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 podľa prílohy č. 2. Formulár Jednotného európskeho dokumentu týchto súťažných podkladov (ďalej aj ako „JED“).</w:t>
      </w:r>
    </w:p>
    <w:p w14:paraId="0044B2D7" w14:textId="77777777" w:rsidR="00B204E1" w:rsidRPr="00B204E1" w:rsidRDefault="00B204E1" w:rsidP="00B204E1">
      <w:pPr>
        <w:spacing w:before="120" w:after="120" w:line="276" w:lineRule="auto"/>
        <w:ind w:left="567"/>
        <w:jc w:val="both"/>
        <w:rPr>
          <w:rFonts w:eastAsia="Calibri" w:cs="Arial"/>
          <w:b/>
          <w:sz w:val="22"/>
          <w:szCs w:val="22"/>
          <w:u w:val="single"/>
          <w:lang w:eastAsia="en-US"/>
        </w:rPr>
      </w:pPr>
      <w:r w:rsidRPr="00B204E1">
        <w:rPr>
          <w:rFonts w:eastAsia="Calibri" w:cs="Arial"/>
          <w:b/>
          <w:sz w:val="22"/>
          <w:szCs w:val="22"/>
          <w:u w:val="single"/>
          <w:lang w:eastAsia="en-US"/>
        </w:rPr>
        <w:t xml:space="preserve">Vytvorenie elektronickej verzie formuláru JED – postup pre záujemcu: </w:t>
      </w:r>
    </w:p>
    <w:p w14:paraId="668D93DB" w14:textId="02E45440" w:rsidR="00B204E1" w:rsidRPr="00B204E1" w:rsidRDefault="004B28B5" w:rsidP="00B204E1">
      <w:pPr>
        <w:spacing w:before="120" w:after="120" w:line="276" w:lineRule="auto"/>
        <w:ind w:left="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odporúča, aby záujemca použil predvyplnený elektronický formulár JED vo formáte .xml, ktorý je  prílohou č. 2. Formulár Jednotného európskeho dokumentu týchto súťažných podkladov.</w:t>
      </w:r>
    </w:p>
    <w:p w14:paraId="606E29C6" w14:textId="69B7730A" w:rsidR="00B204E1" w:rsidRPr="00B204E1" w:rsidRDefault="00B204E1" w:rsidP="00B204E1">
      <w:pPr>
        <w:spacing w:before="120" w:after="120" w:line="276" w:lineRule="auto"/>
        <w:ind w:left="567"/>
        <w:jc w:val="both"/>
        <w:rPr>
          <w:rFonts w:eastAsia="Calibri" w:cs="Arial"/>
          <w:color w:val="000000" w:themeColor="text1"/>
          <w:sz w:val="22"/>
          <w:szCs w:val="22"/>
          <w:lang w:eastAsia="en-US"/>
        </w:rPr>
      </w:pPr>
      <w:bookmarkStart w:id="33" w:name="_Hlk530338161"/>
      <w:r w:rsidRPr="00B204E1">
        <w:rPr>
          <w:rFonts w:eastAsia="Calibri" w:cs="Arial"/>
          <w:sz w:val="22"/>
          <w:szCs w:val="22"/>
          <w:lang w:eastAsia="en-US"/>
        </w:rPr>
        <w:lastRenderedPageBreak/>
        <w:t xml:space="preserve">Záujemca si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pripravenú/vygenerovanú verziu JED-u vo formáte .xml stiahne do svojho počítača. Následne si záujemca v internetovom prehliadači otvorí e-službu Európskej komisie, ktorá je dostupná na elektronickej adrese (</w:t>
      </w:r>
      <w:hyperlink r:id="rId15" w:history="1">
        <w:r w:rsidRPr="00B204E1">
          <w:rPr>
            <w:rFonts w:eastAsia="Calibri" w:cs="Arial"/>
            <w:color w:val="0000FF"/>
            <w:sz w:val="22"/>
            <w:szCs w:val="22"/>
            <w:u w:val="single"/>
            <w:lang w:eastAsia="en-US"/>
          </w:rPr>
          <w:t>https://ec.europa.eu/growth/tools-databases/espd/filter?lang=sk</w:t>
        </w:r>
      </w:hyperlink>
      <w:r w:rsidRPr="00B204E1">
        <w:rPr>
          <w:rFonts w:eastAsia="Calibri" w:cs="Arial"/>
          <w:color w:val="0000FF"/>
          <w:sz w:val="22"/>
          <w:szCs w:val="22"/>
          <w:u w:val="single"/>
          <w:lang w:eastAsia="en-US"/>
        </w:rPr>
        <w:t xml:space="preserve">). </w:t>
      </w:r>
      <w:r w:rsidRPr="00B204E1">
        <w:rPr>
          <w:rFonts w:eastAsia="Calibri" w:cs="Arial"/>
          <w:color w:val="000000" w:themeColor="text1"/>
          <w:sz w:val="22"/>
          <w:szCs w:val="22"/>
          <w:lang w:eastAsia="en-US"/>
        </w:rPr>
        <w:t xml:space="preserve">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w:t>
      </w:r>
      <w:r w:rsidR="005E072B">
        <w:rPr>
          <w:rFonts w:eastAsia="Calibri" w:cs="Arial"/>
          <w:color w:val="000000" w:themeColor="text1"/>
          <w:sz w:val="22"/>
          <w:szCs w:val="22"/>
          <w:lang w:eastAsia="en-US"/>
        </w:rPr>
        <w:t>JOSEPHINE</w:t>
      </w:r>
      <w:r w:rsidR="005E072B" w:rsidRPr="00B204E1">
        <w:rPr>
          <w:rFonts w:eastAsia="Calibri"/>
          <w:smallCaps/>
          <w:color w:val="000000" w:themeColor="text1"/>
          <w:sz w:val="22"/>
          <w:szCs w:val="22"/>
          <w:lang w:eastAsia="en-US"/>
        </w:rPr>
        <w:t xml:space="preserve"> </w:t>
      </w:r>
      <w:r w:rsidRPr="00B204E1">
        <w:rPr>
          <w:rFonts w:eastAsia="Calibri" w:cs="Arial"/>
          <w:color w:val="000000" w:themeColor="text1"/>
          <w:sz w:val="22"/>
          <w:szCs w:val="22"/>
          <w:lang w:eastAsia="en-US"/>
        </w:rPr>
        <w:t>ako súčasť svojej žiadosti o účasť.</w:t>
      </w:r>
    </w:p>
    <w:bookmarkEnd w:id="29"/>
    <w:bookmarkEnd w:id="33"/>
    <w:p w14:paraId="7D458AC2" w14:textId="77777777" w:rsidR="00B204E1" w:rsidRPr="00B204E1" w:rsidRDefault="00B204E1" w:rsidP="00B204E1">
      <w:pPr>
        <w:spacing w:before="120" w:after="120"/>
        <w:ind w:left="567"/>
        <w:jc w:val="both"/>
        <w:rPr>
          <w:rFonts w:cs="Arial"/>
          <w:sz w:val="22"/>
        </w:rPr>
      </w:pPr>
      <w:r w:rsidRPr="00B204E1">
        <w:rPr>
          <w:rFonts w:cs="Arial"/>
          <w:sz w:val="22"/>
        </w:rPr>
        <w:t xml:space="preserve">Bližšie informácie o JED, vrátane usmernení, ako správne JED vyplniť, sú uvedené v dokumente zverejnenom na webovom sídle Úradu pre verejné obstarávanie </w:t>
      </w:r>
      <w:hyperlink r:id="rId16" w:history="1">
        <w:r w:rsidRPr="00B204E1">
          <w:rPr>
            <w:rStyle w:val="Hypertextovprepojenie"/>
            <w:rFonts w:cs="Arial"/>
            <w:sz w:val="22"/>
          </w:rPr>
          <w:t>https://www.uvo.gov.sk/legislativametodika-dohlad/jednotny-europsky-dokument-605.html</w:t>
        </w:r>
      </w:hyperlink>
      <w:r w:rsidRPr="00B204E1">
        <w:rPr>
          <w:rFonts w:cs="Arial"/>
          <w:sz w:val="22"/>
        </w:rPr>
        <w:t xml:space="preserve">: JED - príručka k službe ESPD ( </w:t>
      </w:r>
      <w:hyperlink r:id="rId17" w:history="1">
        <w:r w:rsidRPr="00B204E1">
          <w:rPr>
            <w:rStyle w:val="Hypertextovprepojenie"/>
            <w:sz w:val="22"/>
          </w:rPr>
          <w:t>https://www.uvo.gov.sk/extdoc/1445/JED-prirucka_ESPD</w:t>
        </w:r>
      </w:hyperlink>
      <w:r w:rsidRPr="00B204E1">
        <w:rPr>
          <w:rStyle w:val="Hypertextovprepojenie"/>
          <w:sz w:val="22"/>
        </w:rPr>
        <w:t xml:space="preserve"> </w:t>
      </w:r>
      <w:r w:rsidRPr="00B204E1">
        <w:rPr>
          <w:rFonts w:cs="Arial"/>
          <w:sz w:val="22"/>
        </w:rPr>
        <w:t>).</w:t>
      </w:r>
    </w:p>
    <w:p w14:paraId="6FE94203" w14:textId="51EBC03B" w:rsidR="00B204E1" w:rsidRPr="00B204E1" w:rsidRDefault="00B204E1" w:rsidP="00B204E1">
      <w:pPr>
        <w:spacing w:before="120" w:after="120"/>
        <w:ind w:left="567"/>
        <w:jc w:val="both"/>
        <w:rPr>
          <w:sz w:val="22"/>
        </w:rPr>
      </w:pPr>
      <w:bookmarkStart w:id="34" w:name="_Hlk534973835"/>
    </w:p>
    <w:p w14:paraId="629671F0" w14:textId="77777777" w:rsidR="00B204E1" w:rsidRPr="00B204E1" w:rsidRDefault="00B204E1" w:rsidP="00B204E1">
      <w:pPr>
        <w:tabs>
          <w:tab w:val="left" w:pos="708"/>
        </w:tabs>
        <w:spacing w:before="120" w:after="120"/>
        <w:ind w:left="567"/>
        <w:jc w:val="both"/>
        <w:rPr>
          <w:rFonts w:cs="Arial"/>
          <w:sz w:val="22"/>
        </w:rPr>
      </w:pPr>
      <w:bookmarkStart w:id="35" w:name="_Hlk524506959"/>
      <w:bookmarkEnd w:id="34"/>
      <w:r w:rsidRPr="00B204E1">
        <w:rPr>
          <w:rFonts w:cs="Arial"/>
          <w:sz w:val="22"/>
        </w:rPr>
        <w:t>Vo formulári JED záujemca vyplní nasledovné časti:</w:t>
      </w:r>
      <w:bookmarkEnd w:id="35"/>
    </w:p>
    <w:p w14:paraId="409DDFFA"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 – A, B a C,</w:t>
      </w:r>
    </w:p>
    <w:p w14:paraId="03A640DB"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III - A, B, C a D,</w:t>
      </w:r>
    </w:p>
    <w:p w14:paraId="1C12CC88"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lang w:eastAsia="en-US"/>
        </w:rPr>
        <w:t>časť IV –</w:t>
      </w:r>
      <w:r w:rsidRPr="00B204E1">
        <w:rPr>
          <w:rFonts w:eastAsia="Calibri" w:cs="Arial"/>
          <w:color w:val="000000"/>
          <w:sz w:val="22"/>
          <w:szCs w:val="22"/>
          <w:lang w:eastAsia="en-US"/>
        </w:rPr>
        <w:t xml:space="preserve"> oddiel α,</w:t>
      </w:r>
    </w:p>
    <w:p w14:paraId="183D2F03" w14:textId="77777777" w:rsidR="00B204E1" w:rsidRPr="00B204E1" w:rsidRDefault="00B204E1" w:rsidP="00B204E1">
      <w:pPr>
        <w:numPr>
          <w:ilvl w:val="0"/>
          <w:numId w:val="4"/>
        </w:numPr>
        <w:tabs>
          <w:tab w:val="left" w:pos="708"/>
          <w:tab w:val="left" w:pos="2160"/>
          <w:tab w:val="left" w:pos="2880"/>
          <w:tab w:val="left" w:pos="4500"/>
        </w:tabs>
        <w:spacing w:line="276" w:lineRule="auto"/>
        <w:jc w:val="both"/>
        <w:rPr>
          <w:rFonts w:eastAsia="Calibri" w:cs="Arial"/>
          <w:sz w:val="22"/>
          <w:szCs w:val="22"/>
        </w:rPr>
      </w:pPr>
      <w:r w:rsidRPr="00B204E1">
        <w:rPr>
          <w:rFonts w:eastAsia="Calibri" w:cs="Arial"/>
          <w:sz w:val="22"/>
          <w:szCs w:val="22"/>
        </w:rPr>
        <w:t>časť VI.</w:t>
      </w:r>
    </w:p>
    <w:p w14:paraId="7E414301" w14:textId="2F4403AE"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 xml:space="preserve">Záujemca uvedie v JED všetky relevantné informácie požadované </w:t>
      </w:r>
      <w:r w:rsidR="004B28B5">
        <w:rPr>
          <w:rFonts w:eastAsia="Calibri"/>
          <w:sz w:val="22"/>
          <w:szCs w:val="22"/>
          <w:lang w:eastAsia="en-US"/>
        </w:rPr>
        <w:t>obstarávateľskou organizáciou</w:t>
      </w:r>
      <w:r w:rsidRPr="00B204E1">
        <w:rPr>
          <w:rFonts w:eastAsia="Calibri"/>
          <w:sz w:val="22"/>
          <w:szCs w:val="22"/>
          <w:lang w:eastAsia="en-US"/>
        </w:rPr>
        <w:t xml:space="preserve">, uvedené v oznámení o vyhlásení verejného obstarávania, ktoré vyplní podľa pokynov </w:t>
      </w:r>
      <w:r w:rsidR="003C0DB0">
        <w:rPr>
          <w:rFonts w:eastAsia="Calibri"/>
          <w:sz w:val="22"/>
          <w:szCs w:val="22"/>
          <w:lang w:eastAsia="en-US"/>
        </w:rPr>
        <w:t>obstarávateľskej organizácie</w:t>
      </w:r>
      <w:r w:rsidRPr="00B204E1">
        <w:rPr>
          <w:rFonts w:eastAsia="Calibri"/>
          <w:sz w:val="22"/>
          <w:szCs w:val="22"/>
          <w:lang w:eastAsia="en-US"/>
        </w:rPr>
        <w:t xml:space="preserve">, ako aj pokynov Úradu pre verejné obstarávanie uvedených v manuáli na stránke Úradu pre verejné obstarávanie - </w:t>
      </w:r>
      <w:hyperlink r:id="rId18" w:history="1">
        <w:r w:rsidRPr="00B204E1">
          <w:rPr>
            <w:rFonts w:eastAsia="Calibri"/>
            <w:color w:val="0000FF"/>
            <w:sz w:val="22"/>
            <w:szCs w:val="22"/>
            <w:u w:val="single"/>
            <w:lang w:eastAsia="en-US"/>
          </w:rPr>
          <w:t>https://www.uvo.gov.sk/legislativametodika-dohlad/jednotny-europsky-dokument-605.html</w:t>
        </w:r>
      </w:hyperlink>
      <w:r w:rsidRPr="00B204E1">
        <w:rPr>
          <w:rFonts w:eastAsia="Calibri"/>
          <w:sz w:val="22"/>
          <w:szCs w:val="22"/>
          <w:lang w:eastAsia="en-US"/>
        </w:rPr>
        <w:t>, okrem časti I. označenej ako „Informácie týkajúce sa postupu verejného obstarávania a </w:t>
      </w:r>
      <w:r w:rsidR="003C0DB0">
        <w:rPr>
          <w:rFonts w:eastAsia="Calibri"/>
          <w:sz w:val="22"/>
          <w:szCs w:val="22"/>
          <w:lang w:eastAsia="en-US"/>
        </w:rPr>
        <w:t>obstarávateľskej organizácie</w:t>
      </w:r>
      <w:r w:rsidRPr="00B204E1">
        <w:rPr>
          <w:rFonts w:eastAsia="Calibri"/>
          <w:sz w:val="22"/>
          <w:szCs w:val="22"/>
          <w:lang w:eastAsia="en-US"/>
        </w:rPr>
        <w:t>“ (pokiaľ záujemca použije JED, ktorý je súčasťou týchto súťažných podkladov).</w:t>
      </w:r>
    </w:p>
    <w:p w14:paraId="28B4710E" w14:textId="46F18B70" w:rsidR="00B204E1" w:rsidRPr="00B204E1" w:rsidRDefault="004B28B5" w:rsidP="00B204E1">
      <w:pPr>
        <w:spacing w:before="120" w:after="120" w:line="276" w:lineRule="auto"/>
        <w:ind w:left="567"/>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nevyžaduje, aby záujemca v prípade subdodávateľov, ktorých kapacity nevyužíva na preukázanie splnenia podmienok účasti v častiach II a III formulári JED, uviedol informácie o takýchto subdodávateľoch a tiež nevyžaduje, aby záujemca za takýchto subdodávateľov, ktorých kapacity záujemca nevyužíva na preukázanie splnenia podmienok účasti, predkladal JED za každého takéhoto subdodávateľa.  </w:t>
      </w:r>
    </w:p>
    <w:p w14:paraId="2D61EAF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w:t>
      </w:r>
      <w:r w:rsidRPr="00B204E1">
        <w:rPr>
          <w:rFonts w:eastAsia="Calibri"/>
          <w:sz w:val="22"/>
          <w:szCs w:val="22"/>
          <w:lang w:eastAsia="en-US"/>
        </w:rPr>
        <w:t xml:space="preserve"> a ktorý nevyužíva zdroje a/alebo kapacity iných osôb na preukázanie splnenia podmienok účasti, </w:t>
      </w:r>
      <w:r w:rsidRPr="00B204E1">
        <w:rPr>
          <w:rFonts w:eastAsia="Calibri"/>
          <w:b/>
          <w:sz w:val="22"/>
          <w:szCs w:val="22"/>
          <w:lang w:eastAsia="en-US"/>
        </w:rPr>
        <w:t>vyplní, podpíše a predloží jeden JED.</w:t>
      </w:r>
    </w:p>
    <w:p w14:paraId="207F1CFC" w14:textId="77777777"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b/>
          <w:sz w:val="22"/>
          <w:szCs w:val="22"/>
          <w:lang w:eastAsia="en-US"/>
        </w:rPr>
        <w:t>Záujemca,</w:t>
      </w:r>
      <w:r w:rsidRPr="00B204E1">
        <w:rPr>
          <w:rFonts w:eastAsia="Calibri"/>
          <w:sz w:val="22"/>
          <w:szCs w:val="22"/>
          <w:lang w:eastAsia="en-US"/>
        </w:rPr>
        <w:t xml:space="preserve"> ktorý sa verejného obstarávania </w:t>
      </w:r>
      <w:r w:rsidRPr="00B204E1">
        <w:rPr>
          <w:rFonts w:eastAsia="Calibri"/>
          <w:b/>
          <w:sz w:val="22"/>
          <w:szCs w:val="22"/>
          <w:lang w:eastAsia="en-US"/>
        </w:rPr>
        <w:t>zúčastňuje samostatne, ale využíva zdroje a/alebo kapacity iných osôb na preukázanie splnenia podmienok účasti, vyplní, podpíše a predloží JED za seba spolu s vyplneným/vyplnenými, podpísaným/podpísanými samostatným/samostatnými JED-om/JED-mi,</w:t>
      </w:r>
      <w:r w:rsidRPr="00B204E1">
        <w:rPr>
          <w:rFonts w:eastAsia="Calibri"/>
          <w:sz w:val="22"/>
          <w:szCs w:val="22"/>
          <w:lang w:eastAsia="en-US"/>
        </w:rPr>
        <w:t xml:space="preserve"> ktorý/ktoré obsahuje/obsahujú príslušné informácie </w:t>
      </w:r>
      <w:r w:rsidRPr="00B204E1">
        <w:rPr>
          <w:rFonts w:eastAsia="Calibri"/>
          <w:b/>
          <w:sz w:val="22"/>
          <w:szCs w:val="22"/>
          <w:lang w:eastAsia="en-US"/>
        </w:rPr>
        <w:t>a podpis každej z osôb, ktorých zdroje a/alebo kapacity využíva záujemca na preukázanie splnenia podmienok účasti v tomto verejnom obstarávaní.</w:t>
      </w:r>
    </w:p>
    <w:p w14:paraId="4787A592" w14:textId="77777777" w:rsidR="00B204E1" w:rsidRPr="00B204E1" w:rsidRDefault="00B204E1" w:rsidP="00B204E1">
      <w:pPr>
        <w:spacing w:before="120" w:after="120" w:line="276" w:lineRule="auto"/>
        <w:ind w:left="567"/>
        <w:jc w:val="both"/>
        <w:rPr>
          <w:rFonts w:eastAsia="Calibri"/>
          <w:b/>
          <w:sz w:val="22"/>
          <w:szCs w:val="22"/>
          <w:lang w:eastAsia="en-US"/>
        </w:rPr>
      </w:pPr>
      <w:r w:rsidRPr="00B204E1">
        <w:rPr>
          <w:rFonts w:eastAsia="Calibri"/>
          <w:b/>
          <w:sz w:val="22"/>
          <w:szCs w:val="22"/>
          <w:lang w:eastAsia="en-US"/>
        </w:rPr>
        <w:t>V prípade, že záujemcu tvorí skupina dodávateľov</w:t>
      </w:r>
      <w:r w:rsidRPr="00B204E1">
        <w:rPr>
          <w:rFonts w:eastAsia="Calibri"/>
          <w:sz w:val="22"/>
          <w:szCs w:val="22"/>
          <w:lang w:eastAsia="en-US"/>
        </w:rPr>
        <w:t xml:space="preserve"> zúčastnená vo verejnom obstarávaní, </w:t>
      </w:r>
      <w:r w:rsidRPr="00B204E1">
        <w:rPr>
          <w:rFonts w:eastAsia="Calibri"/>
          <w:b/>
          <w:sz w:val="22"/>
          <w:szCs w:val="22"/>
          <w:lang w:eastAsia="en-US"/>
        </w:rPr>
        <w:t xml:space="preserve">záujemca vyplní a predloží JED s požadovanými informáciami za každého člena skupiny dodávateľov spolu s ich podpismi. </w:t>
      </w:r>
    </w:p>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6"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6"/>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w:t>
      </w:r>
      <w:r w:rsidRPr="00B204E1">
        <w:rPr>
          <w:rFonts w:eastAsia="Calibri"/>
          <w:sz w:val="22"/>
          <w:szCs w:val="22"/>
          <w:lang w:eastAsia="en-US"/>
        </w:rPr>
        <w:lastRenderedPageBreak/>
        <w:t xml:space="preserve">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77777777"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7"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prílohe č. 6 týchto</w:t>
      </w:r>
      <w:r w:rsidRPr="00B204E1">
        <w:rPr>
          <w:rFonts w:eastAsia="Calibri"/>
          <w:sz w:val="22"/>
          <w:szCs w:val="22"/>
          <w:lang w:eastAsia="en-US"/>
        </w:rPr>
        <w:t xml:space="preserve"> súťažných podkladov.</w:t>
      </w:r>
      <w:bookmarkEnd w:id="37"/>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8" w:name="_Toc16684722"/>
      <w:r w:rsidRPr="00F01689">
        <w:t>O</w:t>
      </w:r>
      <w:r w:rsidR="00B204E1" w:rsidRPr="00F01689">
        <w:rPr>
          <w:rStyle w:val="Nadpis2Char"/>
          <w:rFonts w:eastAsia="Calibri"/>
          <w:b/>
          <w:bCs/>
        </w:rPr>
        <w:t>právnenie predložiť žiadosť o účasť a späťvzatie žiadosti o účasť</w:t>
      </w:r>
      <w:bookmarkEnd w:id="38"/>
    </w:p>
    <w:p w14:paraId="2F665916" w14:textId="49810EF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w:t>
      </w:r>
      <w:r w:rsidR="00256A7C">
        <w:rPr>
          <w:rFonts w:eastAsia="Calibri"/>
          <w:sz w:val="22"/>
          <w:szCs w:val="22"/>
          <w:lang w:eastAsia="en-US"/>
        </w:rPr>
        <w:t>objednávky</w:t>
      </w:r>
      <w:r w:rsidRPr="00B204E1">
        <w:rPr>
          <w:rFonts w:eastAsia="Calibri"/>
          <w:sz w:val="22"/>
          <w:szCs w:val="22"/>
          <w:lang w:eastAsia="en-US"/>
        </w:rPr>
        <w:t xml:space="preserve"> a komunikácie/zodpovednosti v procese plnenia</w:t>
      </w:r>
      <w:r w:rsidR="00256A7C">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A8E778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lastRenderedPageBreak/>
        <w:t xml:space="preserve"> </w:t>
      </w:r>
      <w:bookmarkStart w:id="39"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9"/>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40" w:name="_Toc16684724"/>
      <w:r w:rsidRPr="00F01689">
        <w:rPr>
          <w:rFonts w:eastAsia="Calibri"/>
          <w:lang w:eastAsia="en-US"/>
        </w:rPr>
        <w:t>P</w:t>
      </w:r>
      <w:r w:rsidR="00B204E1" w:rsidRPr="00F01689">
        <w:rPr>
          <w:rFonts w:eastAsia="Calibri"/>
          <w:lang w:eastAsia="en-US"/>
        </w:rPr>
        <w:t>osúdenie splnenia podmienok účasti</w:t>
      </w:r>
      <w:bookmarkEnd w:id="40"/>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w:t>
      </w:r>
      <w:r w:rsidRPr="00B204E1">
        <w:rPr>
          <w:rFonts w:eastAsia="Calibri"/>
          <w:sz w:val="22"/>
          <w:szCs w:val="22"/>
          <w:lang w:eastAsia="en-US"/>
        </w:rPr>
        <w:lastRenderedPageBreak/>
        <w:t xml:space="preserve">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41"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41"/>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42"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3" w:name="_Hlk522985801"/>
      <w:r w:rsidR="00B204E1" w:rsidRPr="00B204E1">
        <w:rPr>
          <w:rFonts w:eastAsia="Calibri"/>
          <w:sz w:val="22"/>
          <w:szCs w:val="22"/>
          <w:lang w:eastAsia="en-US"/>
        </w:rPr>
        <w:t xml:space="preserve">– elektronicky, spôsobom určeným funkcionalitou </w:t>
      </w:r>
      <w:bookmarkEnd w:id="43"/>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4"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42"/>
    </w:p>
    <w:p w14:paraId="539C8FA6" w14:textId="5BE4AF3B"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osoby určené na plnenie  alebo riadiacich zamestnancov, ak nespĺňajú predmetnú podmienku účasti podľa § 34 ods. 1 písm. c) alebo písm. g) zákona.</w:t>
      </w:r>
      <w:bookmarkEnd w:id="44"/>
    </w:p>
    <w:p w14:paraId="383FB337" w14:textId="5B9EF600" w:rsidR="00B204E1" w:rsidRDefault="00B204E1" w:rsidP="00B204E1">
      <w:pPr>
        <w:spacing w:line="276" w:lineRule="auto"/>
        <w:ind w:left="567" w:hanging="567"/>
        <w:jc w:val="both"/>
        <w:rPr>
          <w:rFonts w:eastAsia="Calibri" w:cs="Arial"/>
          <w:sz w:val="22"/>
          <w:szCs w:val="22"/>
          <w:lang w:eastAsia="en-US"/>
        </w:rPr>
      </w:pPr>
    </w:p>
    <w:p w14:paraId="7C504B04" w14:textId="2F5AE3AC" w:rsidR="0081456F" w:rsidRDefault="0081456F" w:rsidP="00B204E1">
      <w:pPr>
        <w:spacing w:line="276" w:lineRule="auto"/>
        <w:ind w:left="567" w:hanging="567"/>
        <w:jc w:val="both"/>
        <w:rPr>
          <w:rFonts w:eastAsia="Calibri" w:cs="Arial"/>
          <w:sz w:val="22"/>
          <w:szCs w:val="22"/>
          <w:lang w:eastAsia="en-US"/>
        </w:rPr>
      </w:pPr>
    </w:p>
    <w:p w14:paraId="4CDD03D7" w14:textId="549F1380" w:rsidR="0081456F" w:rsidRDefault="0081456F" w:rsidP="00B204E1">
      <w:pPr>
        <w:spacing w:line="276" w:lineRule="auto"/>
        <w:ind w:left="567" w:hanging="567"/>
        <w:jc w:val="both"/>
        <w:rPr>
          <w:rFonts w:eastAsia="Calibri" w:cs="Arial"/>
          <w:sz w:val="22"/>
          <w:szCs w:val="22"/>
          <w:lang w:eastAsia="en-US"/>
        </w:rPr>
      </w:pPr>
    </w:p>
    <w:p w14:paraId="75BC0285" w14:textId="77777777" w:rsidR="0081456F" w:rsidRPr="00B204E1" w:rsidRDefault="0081456F"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5"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5"/>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27"/>
      <w:r w:rsidRPr="00B204E1">
        <w:rPr>
          <w:rFonts w:eastAsia="Calibri"/>
          <w:b/>
          <w:sz w:val="22"/>
          <w:szCs w:val="22"/>
          <w:lang w:eastAsia="en-US"/>
        </w:rPr>
        <w:t>Časť V.</w:t>
      </w:r>
      <w:bookmarkEnd w:id="46"/>
    </w:p>
    <w:p w14:paraId="52DD6805" w14:textId="77777777" w:rsidR="00B204E1" w:rsidRPr="00B204E1" w:rsidRDefault="00B204E1" w:rsidP="00D84065">
      <w:pPr>
        <w:pStyle w:val="Nadpis1"/>
        <w:rPr>
          <w:rFonts w:eastAsia="Calibri"/>
          <w:lang w:eastAsia="en-US"/>
        </w:rPr>
      </w:pPr>
      <w:bookmarkStart w:id="47" w:name="_Toc16684728"/>
      <w:r w:rsidRPr="00B204E1">
        <w:rPr>
          <w:rFonts w:eastAsia="Calibri"/>
          <w:lang w:eastAsia="en-US"/>
        </w:rPr>
        <w:t>VYTVORENIE DYNAMICKÉHO NÁKUPNÉHO SYSTÉMU A ZADÁVANIE KONKRÉTNYCH ZÁKAZIEK V RÁMCI DYNAMICKÉHO NÁKUPNÉHO SYSTÉMU</w:t>
      </w:r>
      <w:bookmarkEnd w:id="47"/>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8"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8"/>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9"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9"/>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68DBC57D"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50" w:name="_Toc16684731"/>
      <w:r w:rsidRPr="00B204E1">
        <w:rPr>
          <w:rFonts w:eastAsia="Calibri"/>
          <w:b/>
          <w:sz w:val="22"/>
          <w:szCs w:val="22"/>
          <w:lang w:eastAsia="en-US"/>
        </w:rPr>
        <w:lastRenderedPageBreak/>
        <w:t>Časť VI.</w:t>
      </w:r>
      <w:bookmarkEnd w:id="50"/>
    </w:p>
    <w:p w14:paraId="3ABB803A" w14:textId="77777777" w:rsidR="00B204E1" w:rsidRDefault="00B204E1" w:rsidP="00D84065">
      <w:pPr>
        <w:pStyle w:val="Nadpis1"/>
        <w:rPr>
          <w:rFonts w:eastAsia="Calibri"/>
          <w:lang w:eastAsia="en-US"/>
        </w:rPr>
      </w:pPr>
      <w:bookmarkStart w:id="51" w:name="_Toc16684732"/>
      <w:r w:rsidRPr="00B204E1">
        <w:rPr>
          <w:rFonts w:eastAsia="Calibri"/>
          <w:lang w:eastAsia="en-US"/>
        </w:rPr>
        <w:t>PRÍPRAVA PONÚK PREDKLADANÝCH NA KONKRÉTNE ZÁKAZKY ZADÁVANÉ V RÁMCI DYNAMICKÉHO NÁKUPNÉHO SYSTÉMU</w:t>
      </w:r>
      <w:bookmarkEnd w:id="51"/>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52" w:name="_Toc16684733"/>
      <w:r w:rsidRPr="00D84065">
        <w:rPr>
          <w:rStyle w:val="Nadpis2Char"/>
          <w:rFonts w:eastAsia="Calibri"/>
          <w:b/>
        </w:rPr>
        <w:t>V</w:t>
      </w:r>
      <w:r w:rsidR="00B204E1" w:rsidRPr="00D84065">
        <w:rPr>
          <w:rStyle w:val="Nadpis2Char"/>
          <w:rFonts w:eastAsia="Calibri"/>
          <w:b/>
        </w:rPr>
        <w:t>yhotovenie a jazyk ponuky</w:t>
      </w:r>
      <w:bookmarkEnd w:id="52"/>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3"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3"/>
    </w:p>
    <w:p w14:paraId="4D880167" w14:textId="3279E018"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044E9A">
        <w:rPr>
          <w:rFonts w:eastAsia="Calibri"/>
          <w:sz w:val="22"/>
          <w:szCs w:val="22"/>
          <w:lang w:eastAsia="en-US"/>
        </w:rPr>
        <w:t>vystavení objednávky</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w:t>
      </w:r>
      <w:r w:rsidRPr="00B204E1">
        <w:rPr>
          <w:rFonts w:eastAsia="Calibri"/>
          <w:sz w:val="22"/>
          <w:szCs w:val="22"/>
          <w:lang w:eastAsia="en-US"/>
        </w:rPr>
        <w:lastRenderedPageBreak/>
        <w:t>v elektronickej podobe 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4" w:name="_Toc16684734"/>
      <w:r w:rsidRPr="00233D83">
        <w:rPr>
          <w:rStyle w:val="Nadpis2Char"/>
          <w:rFonts w:eastAsia="Calibri"/>
          <w:b/>
        </w:rPr>
        <w:t>V</w:t>
      </w:r>
      <w:r w:rsidR="00B204E1" w:rsidRPr="00233D83">
        <w:rPr>
          <w:rStyle w:val="Nadpis2Char"/>
          <w:rFonts w:eastAsia="Calibri"/>
          <w:b/>
        </w:rPr>
        <w:t>ariantné riešenie</w:t>
      </w:r>
      <w:bookmarkEnd w:id="54"/>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5"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5"/>
    </w:p>
    <w:p w14:paraId="74942DC6" w14:textId="0896D542"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4615CD9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55B6B909"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48BD3EF8"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1F257EE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6" w:name="_Toc16684736"/>
      <w:r w:rsidR="00233D83" w:rsidRPr="00185B18">
        <w:rPr>
          <w:rStyle w:val="Nadpis2Char"/>
          <w:rFonts w:eastAsia="Calibri"/>
          <w:b/>
          <w:bCs/>
        </w:rPr>
        <w:t>Z</w:t>
      </w:r>
      <w:r w:rsidR="00B204E1" w:rsidRPr="00185B18">
        <w:rPr>
          <w:rStyle w:val="Nadpis2Char"/>
          <w:rFonts w:eastAsia="Calibri"/>
          <w:b/>
          <w:bCs/>
        </w:rPr>
        <w:t>ábezpeka ponuky</w:t>
      </w:r>
      <w:bookmarkEnd w:id="56"/>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7" w:name="_Toc16684737"/>
      <w:r w:rsidRPr="00B204E1">
        <w:rPr>
          <w:rFonts w:eastAsia="Calibri"/>
          <w:b/>
          <w:sz w:val="22"/>
          <w:szCs w:val="22"/>
          <w:lang w:eastAsia="en-US"/>
        </w:rPr>
        <w:t>Časť VII.</w:t>
      </w:r>
      <w:bookmarkEnd w:id="57"/>
    </w:p>
    <w:p w14:paraId="28CBACA5" w14:textId="77777777" w:rsidR="00B204E1" w:rsidRPr="00B204E1" w:rsidRDefault="00B204E1" w:rsidP="00185B18">
      <w:pPr>
        <w:pStyle w:val="Nadpis1"/>
        <w:rPr>
          <w:rFonts w:eastAsia="Calibri"/>
          <w:lang w:eastAsia="en-US"/>
        </w:rPr>
      </w:pPr>
      <w:bookmarkStart w:id="58" w:name="_Toc16684738"/>
      <w:r w:rsidRPr="00B204E1">
        <w:rPr>
          <w:rFonts w:eastAsia="Calibri"/>
          <w:lang w:eastAsia="en-US"/>
        </w:rPr>
        <w:t>OBSAH PONÚK PREDKLADANÝCH NA KONKRÉTNE ZÁKAZKY ZADÁVANÉ V RÁMCI DYNAMICKÉHO NÁKUPNÉHO SYSTÉMU</w:t>
      </w:r>
      <w:bookmarkEnd w:id="58"/>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9" w:name="_Toc16684739"/>
      <w:r w:rsidRPr="00185B18">
        <w:rPr>
          <w:rStyle w:val="Nadpis2Char"/>
          <w:rFonts w:eastAsia="Calibri"/>
          <w:b/>
        </w:rPr>
        <w:t>O</w:t>
      </w:r>
      <w:r w:rsidR="00B204E1" w:rsidRPr="00185B18">
        <w:rPr>
          <w:rStyle w:val="Nadpis2Char"/>
          <w:rFonts w:eastAsia="Calibri"/>
          <w:b/>
        </w:rPr>
        <w:t>bsah ponuky</w:t>
      </w:r>
      <w:bookmarkEnd w:id="59"/>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60" w:name="_Toc16684740"/>
      <w:r w:rsidRPr="00B204E1">
        <w:rPr>
          <w:rFonts w:eastAsia="Calibri"/>
          <w:b/>
          <w:sz w:val="22"/>
          <w:szCs w:val="22"/>
          <w:lang w:eastAsia="en-US"/>
        </w:rPr>
        <w:t>Časť VIII.</w:t>
      </w:r>
      <w:bookmarkEnd w:id="60"/>
    </w:p>
    <w:p w14:paraId="1B3BC37D" w14:textId="77777777" w:rsidR="00B204E1" w:rsidRDefault="00B204E1" w:rsidP="00185B18">
      <w:pPr>
        <w:pStyle w:val="Nadpis1"/>
        <w:rPr>
          <w:rFonts w:eastAsia="Calibri"/>
          <w:lang w:eastAsia="en-US"/>
        </w:rPr>
      </w:pPr>
      <w:bookmarkStart w:id="61" w:name="_Toc16684741"/>
      <w:r w:rsidRPr="00B204E1">
        <w:rPr>
          <w:rFonts w:eastAsia="Calibri"/>
          <w:lang w:eastAsia="en-US"/>
        </w:rPr>
        <w:t>PREDKLADANIE A VYHODNOCOVANIE PONÚK NA KONKRÉTNE ZÁKAZKY ZADÁVANÉ V RÁMCI DYNAMICKÉHO NÁKUPNÉHO SYSTÉMU</w:t>
      </w:r>
      <w:bookmarkEnd w:id="61"/>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2" w:name="_Toc16684742"/>
      <w:r w:rsidRPr="00185B18">
        <w:rPr>
          <w:rStyle w:val="Nadpis2Char"/>
          <w:rFonts w:eastAsia="Calibri"/>
          <w:b/>
        </w:rPr>
        <w:t>O</w:t>
      </w:r>
      <w:r w:rsidR="00B204E1" w:rsidRPr="006B4775">
        <w:rPr>
          <w:rStyle w:val="Nadpis2Char"/>
          <w:rFonts w:eastAsia="Calibri"/>
          <w:b/>
        </w:rPr>
        <w:t>právnenie predložiť ponuku</w:t>
      </w:r>
      <w:bookmarkEnd w:id="62"/>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3" w:name="_Toc16684743"/>
      <w:r w:rsidRPr="006B4775">
        <w:rPr>
          <w:rStyle w:val="Nadpis2Char"/>
          <w:rFonts w:eastAsia="Calibri"/>
          <w:b/>
        </w:rPr>
        <w:t>P</w:t>
      </w:r>
      <w:r w:rsidR="00B204E1" w:rsidRPr="006B4775">
        <w:rPr>
          <w:rStyle w:val="Nadpis2Char"/>
          <w:rFonts w:eastAsia="Calibri"/>
          <w:b/>
        </w:rPr>
        <w:t>redloženie ponuky a späťvzatie ponuky</w:t>
      </w:r>
      <w:bookmarkEnd w:id="63"/>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4"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4"/>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5"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6" w:name="_Hlk346413"/>
      <w:r w:rsidRPr="00B204E1">
        <w:rPr>
          <w:rFonts w:eastAsia="Calibri" w:cs="Arial"/>
          <w:sz w:val="22"/>
          <w:szCs w:val="22"/>
          <w:lang w:eastAsia="en-US"/>
        </w:rPr>
        <w:t xml:space="preserve">na konkrétnu zadávanú zákazku v rámci dynamického nákupného systému </w:t>
      </w:r>
      <w:bookmarkEnd w:id="66"/>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5"/>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7" w:name="_Toc16684744"/>
      <w:r>
        <w:rPr>
          <w:rStyle w:val="Nadpis2Char"/>
          <w:rFonts w:eastAsia="Calibri"/>
          <w:b/>
        </w:rPr>
        <w:t>M</w:t>
      </w:r>
      <w:r w:rsidR="00B204E1" w:rsidRPr="006B4775">
        <w:rPr>
          <w:rStyle w:val="Nadpis2Char"/>
          <w:rFonts w:eastAsia="Calibri"/>
          <w:b/>
        </w:rPr>
        <w:t>iesto a lehota na predkladanie ponúk</w:t>
      </w:r>
      <w:bookmarkEnd w:id="67"/>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8" w:name="_Toc16684745"/>
      <w:r w:rsidRPr="006B4775">
        <w:rPr>
          <w:rStyle w:val="Nadpis2Char"/>
          <w:rFonts w:eastAsia="Calibri"/>
          <w:b/>
        </w:rPr>
        <w:t>L</w:t>
      </w:r>
      <w:r w:rsidR="00B204E1" w:rsidRPr="006B4775">
        <w:rPr>
          <w:rStyle w:val="Nadpis2Char"/>
          <w:rFonts w:eastAsia="Calibri"/>
          <w:b/>
        </w:rPr>
        <w:t>ehota viazanosti ponúk</w:t>
      </w:r>
      <w:bookmarkEnd w:id="68"/>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9" w:name="_Toc16684746"/>
      <w:r w:rsidRPr="00185B18">
        <w:rPr>
          <w:rStyle w:val="Nadpis2Char"/>
          <w:rFonts w:eastAsia="Calibri"/>
          <w:b/>
        </w:rPr>
        <w:t>O</w:t>
      </w:r>
      <w:r w:rsidR="00B204E1" w:rsidRPr="006B4775">
        <w:rPr>
          <w:rStyle w:val="Nadpis2Char"/>
          <w:rFonts w:eastAsia="Calibri"/>
          <w:b/>
        </w:rPr>
        <w:t>tváranie ponúk</w:t>
      </w:r>
      <w:bookmarkEnd w:id="69"/>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70"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70"/>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71"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71"/>
      <w:r w:rsidRPr="00B204E1">
        <w:rPr>
          <w:rFonts w:ascii="Garamond" w:hAnsi="Garamond" w:cs="Arial"/>
          <w:lang w:eastAsia="cs-CZ"/>
        </w:rPr>
        <w:t xml:space="preserve">. </w:t>
      </w:r>
      <w:bookmarkStart w:id="72"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2"/>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3"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73"/>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4"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4"/>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47"/>
      <w:r>
        <w:rPr>
          <w:rStyle w:val="Nadpis2Char"/>
          <w:rFonts w:eastAsia="Calibri"/>
          <w:b/>
        </w:rPr>
        <w:lastRenderedPageBreak/>
        <w:t>V</w:t>
      </w:r>
      <w:r w:rsidR="00B204E1" w:rsidRPr="006B4775">
        <w:rPr>
          <w:rStyle w:val="Nadpis2Char"/>
          <w:rFonts w:eastAsia="Calibri"/>
          <w:b/>
        </w:rPr>
        <w:t>yhodnocovanie ponúk</w:t>
      </w:r>
      <w:bookmarkEnd w:id="75"/>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6" w:name="_Toc16684748"/>
      <w:r>
        <w:rPr>
          <w:rStyle w:val="Nadpis2Char"/>
          <w:rFonts w:eastAsia="Calibri"/>
          <w:b/>
        </w:rPr>
        <w:t>V</w:t>
      </w:r>
      <w:r w:rsidR="00B204E1" w:rsidRPr="006B4775">
        <w:rPr>
          <w:rStyle w:val="Nadpis2Char"/>
          <w:rFonts w:eastAsia="Calibri"/>
          <w:b/>
        </w:rPr>
        <w:t>ysvetľovanie ponuky, odôvodnenie mimoriadne nízkej ponuky</w:t>
      </w:r>
      <w:bookmarkEnd w:id="76"/>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7" w:name="_Hlk522984047"/>
      <w:r w:rsidRPr="00B204E1">
        <w:rPr>
          <w:rFonts w:eastAsia="Calibri" w:cs="Arial"/>
          <w:sz w:val="22"/>
          <w:szCs w:val="22"/>
          <w:lang w:eastAsia="en-US"/>
        </w:rPr>
        <w:t xml:space="preserve">– elektronicky, spôsobom určeným funkcionalitou </w:t>
      </w:r>
      <w:bookmarkEnd w:id="77"/>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8" w:name="_Toc16684749"/>
      <w:r>
        <w:rPr>
          <w:rFonts w:eastAsia="Calibri"/>
          <w:lang w:eastAsia="en-US"/>
        </w:rPr>
        <w:t>V</w:t>
      </w:r>
      <w:r w:rsidR="00B204E1" w:rsidRPr="006B4775">
        <w:rPr>
          <w:rFonts w:eastAsia="Calibri"/>
          <w:lang w:eastAsia="en-US"/>
        </w:rPr>
        <w:t>ylúčenie ponuky/dodávateľa</w:t>
      </w:r>
      <w:bookmarkEnd w:id="78"/>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0"/>
      <w:r w:rsidRPr="006B4775">
        <w:rPr>
          <w:rStyle w:val="Nadpis2Char"/>
          <w:rFonts w:eastAsia="Calibri"/>
          <w:b/>
        </w:rPr>
        <w:t>V</w:t>
      </w:r>
      <w:r w:rsidR="00B204E1" w:rsidRPr="006B4775">
        <w:rPr>
          <w:rStyle w:val="Nadpis2Char"/>
          <w:rFonts w:eastAsia="Calibri"/>
          <w:b/>
        </w:rPr>
        <w:t>yhodnocovanie návrhov na plnenie kritérií</w:t>
      </w:r>
      <w:bookmarkEnd w:id="79"/>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0" w:name="_Toc16684751"/>
      <w:r>
        <w:rPr>
          <w:rStyle w:val="Nadpis2Char"/>
          <w:rFonts w:eastAsia="Calibri"/>
          <w:b/>
        </w:rPr>
        <w:t>E</w:t>
      </w:r>
      <w:r w:rsidR="00B204E1" w:rsidRPr="006B4775">
        <w:rPr>
          <w:rStyle w:val="Nadpis2Char"/>
          <w:rFonts w:eastAsia="Calibri"/>
          <w:b/>
        </w:rPr>
        <w:t>lektronická aukcia</w:t>
      </w:r>
      <w:bookmarkEnd w:id="80"/>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81" w:name="_Toc16684752"/>
      <w:r w:rsidRPr="006B4775">
        <w:rPr>
          <w:rStyle w:val="Nadpis2Char"/>
          <w:rFonts w:eastAsia="Calibri"/>
          <w:b/>
        </w:rPr>
        <w:t>I</w:t>
      </w:r>
      <w:r w:rsidR="00B204E1" w:rsidRPr="006B4775">
        <w:rPr>
          <w:rStyle w:val="Nadpis2Char"/>
          <w:rFonts w:eastAsia="Calibri"/>
          <w:b/>
        </w:rPr>
        <w:t>nformácia o výsledku vyhodnocovania ponúk</w:t>
      </w:r>
      <w:bookmarkEnd w:id="81"/>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73404B1C" w:rsidR="00B204E1" w:rsidRPr="006B4775" w:rsidRDefault="006B4775" w:rsidP="00044E9A">
      <w:pPr>
        <w:pStyle w:val="Nadpis2"/>
        <w:numPr>
          <w:ilvl w:val="0"/>
          <w:numId w:val="24"/>
        </w:numPr>
        <w:spacing w:line="276" w:lineRule="auto"/>
        <w:jc w:val="both"/>
        <w:rPr>
          <w:rFonts w:eastAsia="Calibri"/>
          <w:b w:val="0"/>
          <w:sz w:val="22"/>
          <w:szCs w:val="22"/>
          <w:lang w:eastAsia="en-US"/>
        </w:rPr>
      </w:pPr>
      <w:bookmarkStart w:id="82" w:name="_Toc16684756"/>
      <w:r w:rsidRPr="00185B18">
        <w:rPr>
          <w:rStyle w:val="Nadpis2Char"/>
          <w:rFonts w:eastAsia="Calibri"/>
          <w:b/>
        </w:rPr>
        <w:t>O</w:t>
      </w:r>
      <w:r w:rsidR="00B204E1" w:rsidRPr="006B4775">
        <w:rPr>
          <w:rStyle w:val="Nadpis2Char"/>
          <w:rFonts w:eastAsia="Calibri"/>
          <w:b/>
        </w:rPr>
        <w:t>chrana osobných údajov</w:t>
      </w:r>
      <w:bookmarkEnd w:id="82"/>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D9443F" w:rsidRDefault="00D9443F">
      <w:r>
        <w:separator/>
      </w:r>
    </w:p>
  </w:endnote>
  <w:endnote w:type="continuationSeparator" w:id="0">
    <w:p w14:paraId="7BA33F5E" w14:textId="77777777" w:rsidR="00D9443F" w:rsidRDefault="00D9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D9443F" w:rsidRDefault="00D9443F">
      <w:r>
        <w:separator/>
      </w:r>
    </w:p>
  </w:footnote>
  <w:footnote w:type="continuationSeparator" w:id="0">
    <w:p w14:paraId="484C343B" w14:textId="77777777" w:rsidR="00D9443F" w:rsidRDefault="00D94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0953438">
    <w:abstractNumId w:val="29"/>
  </w:num>
  <w:num w:numId="2" w16cid:durableId="1616057739">
    <w:abstractNumId w:val="35"/>
  </w:num>
  <w:num w:numId="3" w16cid:durableId="1455520454">
    <w:abstractNumId w:val="15"/>
  </w:num>
  <w:num w:numId="4" w16cid:durableId="641272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2879195">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699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326760">
    <w:abstractNumId w:val="13"/>
  </w:num>
  <w:num w:numId="8" w16cid:durableId="1095900155">
    <w:abstractNumId w:val="31"/>
  </w:num>
  <w:num w:numId="9" w16cid:durableId="1504130242">
    <w:abstractNumId w:val="42"/>
  </w:num>
  <w:num w:numId="10" w16cid:durableId="8920146">
    <w:abstractNumId w:val="18"/>
  </w:num>
  <w:num w:numId="11" w16cid:durableId="1285623018">
    <w:abstractNumId w:val="33"/>
  </w:num>
  <w:num w:numId="12" w16cid:durableId="682515106">
    <w:abstractNumId w:val="41"/>
  </w:num>
  <w:num w:numId="13" w16cid:durableId="848447723">
    <w:abstractNumId w:val="7"/>
  </w:num>
  <w:num w:numId="14" w16cid:durableId="410278789">
    <w:abstractNumId w:val="5"/>
  </w:num>
  <w:num w:numId="15" w16cid:durableId="1581056926">
    <w:abstractNumId w:val="23"/>
  </w:num>
  <w:num w:numId="16" w16cid:durableId="1289166836">
    <w:abstractNumId w:val="21"/>
  </w:num>
  <w:num w:numId="17" w16cid:durableId="122121007">
    <w:abstractNumId w:val="1"/>
  </w:num>
  <w:num w:numId="18" w16cid:durableId="917443414">
    <w:abstractNumId w:val="28"/>
  </w:num>
  <w:num w:numId="19" w16cid:durableId="387414261">
    <w:abstractNumId w:val="34"/>
  </w:num>
  <w:num w:numId="20" w16cid:durableId="1496652767">
    <w:abstractNumId w:val="4"/>
  </w:num>
  <w:num w:numId="21" w16cid:durableId="281881354">
    <w:abstractNumId w:val="10"/>
  </w:num>
  <w:num w:numId="22" w16cid:durableId="1848979859">
    <w:abstractNumId w:val="37"/>
  </w:num>
  <w:num w:numId="23" w16cid:durableId="65034248">
    <w:abstractNumId w:val="25"/>
  </w:num>
  <w:num w:numId="24" w16cid:durableId="181744880">
    <w:abstractNumId w:val="27"/>
  </w:num>
  <w:num w:numId="25" w16cid:durableId="688220149">
    <w:abstractNumId w:val="19"/>
  </w:num>
  <w:num w:numId="26" w16cid:durableId="1371881204">
    <w:abstractNumId w:val="17"/>
  </w:num>
  <w:num w:numId="27" w16cid:durableId="1673145181">
    <w:abstractNumId w:val="12"/>
  </w:num>
  <w:num w:numId="28" w16cid:durableId="2070495902">
    <w:abstractNumId w:val="20"/>
  </w:num>
  <w:num w:numId="29" w16cid:durableId="1891069632">
    <w:abstractNumId w:val="9"/>
  </w:num>
  <w:num w:numId="30" w16cid:durableId="1498812450">
    <w:abstractNumId w:val="0"/>
  </w:num>
  <w:num w:numId="31" w16cid:durableId="1117605741">
    <w:abstractNumId w:val="6"/>
  </w:num>
  <w:num w:numId="32" w16cid:durableId="527184780">
    <w:abstractNumId w:val="40"/>
  </w:num>
  <w:num w:numId="33" w16cid:durableId="2140418363">
    <w:abstractNumId w:val="14"/>
  </w:num>
  <w:num w:numId="34" w16cid:durableId="1563712229">
    <w:abstractNumId w:val="39"/>
  </w:num>
  <w:num w:numId="35" w16cid:durableId="1242518509">
    <w:abstractNumId w:val="16"/>
  </w:num>
  <w:num w:numId="36" w16cid:durableId="1894732292">
    <w:abstractNumId w:val="43"/>
  </w:num>
  <w:num w:numId="37" w16cid:durableId="1864709927">
    <w:abstractNumId w:val="8"/>
  </w:num>
  <w:num w:numId="38" w16cid:durableId="1731154444">
    <w:abstractNumId w:val="22"/>
  </w:num>
  <w:num w:numId="39" w16cid:durableId="1060447742">
    <w:abstractNumId w:val="32"/>
  </w:num>
  <w:num w:numId="40" w16cid:durableId="1489977467">
    <w:abstractNumId w:val="24"/>
  </w:num>
  <w:num w:numId="41" w16cid:durableId="647322534">
    <w:abstractNumId w:val="2"/>
  </w:num>
  <w:num w:numId="42" w16cid:durableId="1126895327">
    <w:abstractNumId w:val="38"/>
  </w:num>
  <w:num w:numId="43" w16cid:durableId="493178802">
    <w:abstractNumId w:val="36"/>
  </w:num>
  <w:num w:numId="44" w16cid:durableId="1375228259">
    <w:abstractNumId w:val="26"/>
  </w:num>
  <w:num w:numId="45" w16cid:durableId="161108932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14337">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4E9A"/>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6A7C"/>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13A7"/>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tore.proebiz.com/docs/josephine/sk/Technicke_poziadavky_sw_JOSEPHINE.pdf"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extdoc/1445/JED-prirucka_ESPD" TargetMode="Externa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6484" TargetMode="External"/><Relationship Id="rId5" Type="http://schemas.openxmlformats.org/officeDocument/2006/relationships/webSettings" Target="webSettings.xml"/><Relationship Id="rId15" Type="http://schemas.openxmlformats.org/officeDocument/2006/relationships/hyperlink" Target="https://ec.europa.eu/growth/tools-databases/espd/filter?lang=sk" TargetMode="External"/><Relationship Id="rId10" Type="http://schemas.openxmlformats.org/officeDocument/2006/relationships/hyperlink" Target="http://www.dpb.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store.proebiz.com/docs/josephine/sk/Vseobecne_podmienky_pouzivania_DNS.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A0875-90D8-48B8-BFF2-C3AA51C0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24</Pages>
  <Words>9096</Words>
  <Characters>51849</Characters>
  <Application>Microsoft Office Word</Application>
  <DocSecurity>0</DocSecurity>
  <Lines>432</Lines>
  <Paragraphs>121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60824</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Juhászová Kristína</cp:lastModifiedBy>
  <cp:revision>18</cp:revision>
  <cp:lastPrinted>2019-10-15T09:59:00Z</cp:lastPrinted>
  <dcterms:created xsi:type="dcterms:W3CDTF">2019-10-11T05:22:00Z</dcterms:created>
  <dcterms:modified xsi:type="dcterms:W3CDTF">2022-05-17T10:17:00Z</dcterms:modified>
</cp:coreProperties>
</file>