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403C67AB"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517721">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r w:rsidR="00A24DDF">
        <w:rPr>
          <w:rFonts w:asciiTheme="minorHAnsi" w:hAnsiTheme="minorHAnsi" w:cstheme="minorHAnsi"/>
          <w:b/>
          <w:color w:val="000000" w:themeColor="text1"/>
          <w:sz w:val="24"/>
          <w:szCs w:val="24"/>
        </w:rPr>
        <w:t>KSB</w:t>
      </w:r>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B03431">
        <w:rPr>
          <w:rFonts w:asciiTheme="minorHAnsi" w:hAnsiTheme="minorHAnsi" w:cstheme="minorHAnsi"/>
          <w:sz w:val="24"/>
          <w:szCs w:val="24"/>
        </w:rPr>
        <w:t>4</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Default="00B02161" w:rsidP="00ED1626">
      <w:pPr>
        <w:ind w:firstLine="708"/>
        <w:jc w:val="both"/>
        <w:rPr>
          <w:rFonts w:asciiTheme="minorHAnsi" w:hAnsiTheme="minorHAnsi" w:cstheme="minorHAnsi"/>
          <w:color w:val="000000" w:themeColor="text1"/>
          <w:sz w:val="24"/>
          <w:szCs w:val="24"/>
        </w:rPr>
      </w:pPr>
    </w:p>
    <w:p w14:paraId="5982395B" w14:textId="77777777" w:rsidR="00B90C99" w:rsidRPr="00DB5196" w:rsidRDefault="00B90C99"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27352CAB"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r w:rsidR="00A24DDF">
        <w:rPr>
          <w:rFonts w:asciiTheme="minorHAnsi" w:hAnsiTheme="minorHAnsi" w:cstheme="minorHAnsi"/>
          <w:b/>
          <w:sz w:val="22"/>
          <w:szCs w:val="22"/>
        </w:rPr>
        <w:t>KSB</w:t>
      </w:r>
      <w:r w:rsidR="00131018" w:rsidRPr="00C70AF9">
        <w:rPr>
          <w:rFonts w:asciiTheme="minorHAnsi" w:hAnsiTheme="minorHAnsi" w:cstheme="minorHAnsi"/>
          <w:b/>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46427A5C"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potreby výkonu profylaktického servisu a/alebo opráv pre nové zariadenia, 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14F914EE"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w:t>
      </w:r>
      <w:r w:rsidRPr="00DB5196">
        <w:rPr>
          <w:rFonts w:asciiTheme="minorHAnsi" w:hAnsiTheme="minorHAnsi" w:cstheme="minorHAnsi"/>
          <w:sz w:val="22"/>
          <w:szCs w:val="22"/>
        </w:rPr>
        <w:t xml:space="preserve"> </w:t>
      </w:r>
      <w:r w:rsidR="009B4540">
        <w:rPr>
          <w:rFonts w:asciiTheme="minorHAnsi" w:hAnsiTheme="minorHAnsi" w:cstheme="minorHAnsi"/>
          <w:sz w:val="22"/>
          <w:szCs w:val="22"/>
        </w:rPr>
        <w:t xml:space="preserve">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len originálne náhradne diely výrobcov čerpadiel a miešadiel značky </w:t>
      </w:r>
      <w:r w:rsidR="00A24DDF">
        <w:rPr>
          <w:rFonts w:asciiTheme="minorHAnsi" w:hAnsiTheme="minorHAnsi" w:cstheme="minorHAnsi"/>
          <w:sz w:val="22"/>
          <w:szCs w:val="22"/>
        </w:rPr>
        <w:t>KSB</w:t>
      </w:r>
      <w:r w:rsidR="009B4540">
        <w:rPr>
          <w:rFonts w:asciiTheme="minorHAnsi" w:hAnsiTheme="minorHAnsi" w:cstheme="minorHAnsi"/>
          <w:sz w:val="22"/>
          <w:szCs w:val="22"/>
        </w:rPr>
        <w:t xml:space="preserve">. </w:t>
      </w:r>
    </w:p>
    <w:p w14:paraId="159690F2" w14:textId="0C68DBA2" w:rsidR="007D3447" w:rsidRDefault="008513D6" w:rsidP="001C1FD2">
      <w:pPr>
        <w:pStyle w:val="Zkladntext"/>
        <w:widowControl/>
        <w:numPr>
          <w:ilvl w:val="0"/>
          <w:numId w:val="24"/>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 xml:space="preserve">Poskytovateľ je povinný disponovať po celú dobu trvania tejto zmluvy oprávnením na vykonávanie autorizovaného servisu od výrobcu čerpadiel a miešadiel </w:t>
      </w:r>
      <w:r w:rsidR="00A24DDF">
        <w:rPr>
          <w:rFonts w:asciiTheme="minorHAnsi" w:hAnsiTheme="minorHAnsi" w:cstheme="minorHAnsi"/>
          <w:sz w:val="22"/>
          <w:szCs w:val="22"/>
        </w:rPr>
        <w:t>KSB</w:t>
      </w:r>
      <w:r w:rsidRPr="00B02161">
        <w:rPr>
          <w:rFonts w:asciiTheme="minorHAnsi" w:hAnsiTheme="minorHAnsi" w:cstheme="minorHAnsi"/>
          <w:sz w:val="22"/>
          <w:szCs w:val="22"/>
        </w:rPr>
        <w:t>.</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950C9A8"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3B8C6474"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proofErr w:type="spellStart"/>
      <w:r w:rsidR="00777B03">
        <w:rPr>
          <w:rFonts w:asciiTheme="minorHAnsi" w:hAnsiTheme="minorHAnsi" w:cstheme="minorHAnsi"/>
          <w:sz w:val="22"/>
          <w:szCs w:val="22"/>
        </w:rPr>
        <w:t>doručenue</w:t>
      </w:r>
      <w:proofErr w:type="spellEnd"/>
      <w:r w:rsidR="00BA7265">
        <w:rPr>
          <w:rFonts w:asciiTheme="minorHAnsi" w:hAnsiTheme="minorHAnsi" w:cstheme="minorHAnsi"/>
          <w:sz w:val="22"/>
          <w:szCs w:val="22"/>
        </w:rPr>
        <w:t xml:space="preserve"> objednávky, ak sa zmluvné strany nedohodnú inak. </w:t>
      </w:r>
    </w:p>
    <w:p w14:paraId="2195BFCA" w14:textId="6B539CBE"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o vzor je uvedený v Prílohe č. 10</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 xml:space="preserve">ariadenie v rozobratom stave doručiť a </w:t>
      </w:r>
      <w:r w:rsidR="007C4216">
        <w:rPr>
          <w:rFonts w:asciiTheme="minorHAnsi" w:hAnsiTheme="minorHAnsi" w:cstheme="minorHAnsi"/>
          <w:sz w:val="22"/>
          <w:szCs w:val="22"/>
        </w:rPr>
        <w:lastRenderedPageBreak/>
        <w:t>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1337E375"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087671">
        <w:rPr>
          <w:rFonts w:asciiTheme="minorHAnsi" w:hAnsiTheme="minorHAnsi" w:cstheme="minorHAnsi"/>
          <w:sz w:val="22"/>
          <w:szCs w:val="22"/>
        </w:rPr>
        <w:t>7</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77777777"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A46DE0">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484D4BC0"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00087671">
        <w:rPr>
          <w:rFonts w:asciiTheme="minorHAnsi" w:hAnsiTheme="minorHAnsi" w:cstheme="minorHAnsi"/>
          <w:sz w:val="22"/>
          <w:szCs w:val="22"/>
        </w:rPr>
        <w:t xml:space="preserve"> a </w:t>
      </w:r>
      <w:r w:rsidR="00A16F73" w:rsidRPr="00E47AC8">
        <w:rPr>
          <w:rFonts w:asciiTheme="minorHAnsi" w:hAnsiTheme="minorHAnsi" w:cstheme="minorHAnsi"/>
          <w:sz w:val="22"/>
          <w:szCs w:val="22"/>
        </w:rPr>
        <w:t xml:space="preserve">v Prílohe č. </w:t>
      </w:r>
      <w:r w:rsidR="001969B8">
        <w:rPr>
          <w:rFonts w:asciiTheme="minorHAnsi" w:hAnsiTheme="minorHAnsi" w:cstheme="minorHAnsi"/>
          <w:sz w:val="22"/>
          <w:szCs w:val="22"/>
        </w:rPr>
        <w:t>5</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w:t>
      </w:r>
      <w:r w:rsidR="00D12D26">
        <w:rPr>
          <w:rFonts w:asciiTheme="minorHAnsi" w:hAnsiTheme="minorHAnsi" w:cstheme="minorHAnsi"/>
          <w:color w:val="000000" w:themeColor="text1"/>
          <w:sz w:val="22"/>
          <w:szCs w:val="22"/>
        </w:rPr>
        <w:lastRenderedPageBreak/>
        <w:t xml:space="preserve">(napr.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8A563D2"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E849AB" w:rsidRPr="00E47AC8">
        <w:rPr>
          <w:rFonts w:asciiTheme="minorHAnsi" w:hAnsiTheme="minorHAnsi" w:cstheme="minorHAnsi"/>
          <w:color w:val="000000" w:themeColor="text1"/>
          <w:sz w:val="22"/>
          <w:szCs w:val="22"/>
        </w:rPr>
        <w:t xml:space="preserve"> </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4379A4B0" w14:textId="2E146B8E" w:rsidR="00B63BD5" w:rsidRPr="00E47AC8" w:rsidRDefault="00CF6F05" w:rsidP="00B02161">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5BF5B5DF" w14:textId="3B164345" w:rsidR="00AE3D47" w:rsidRPr="00B02161" w:rsidRDefault="00CF6F05" w:rsidP="00AE3D47">
      <w:pPr>
        <w:pStyle w:val="Default"/>
        <w:ind w:left="567" w:hanging="567"/>
        <w:jc w:val="both"/>
        <w:rPr>
          <w:rFonts w:asciiTheme="minorHAnsi" w:hAnsiTheme="minorHAnsi" w:cstheme="minorHAnsi"/>
          <w:b/>
          <w:bCs/>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náhradných dielov </w:t>
      </w:r>
      <w:r w:rsidR="00AE3D47">
        <w:rPr>
          <w:rFonts w:asciiTheme="minorHAnsi" w:hAnsiTheme="minorHAnsi" w:cstheme="minorHAnsi"/>
          <w:sz w:val="22"/>
          <w:szCs w:val="22"/>
        </w:rPr>
        <w:t>je určená  v</w:t>
      </w:r>
      <w:r w:rsidR="00F47EEE" w:rsidRPr="00E47AC8">
        <w:rPr>
          <w:rFonts w:asciiTheme="minorHAnsi" w:hAnsiTheme="minorHAnsi" w:cstheme="minorHAnsi"/>
          <w:sz w:val="22"/>
          <w:szCs w:val="22"/>
        </w:rPr>
        <w:t xml:space="preserve"> cenník</w:t>
      </w:r>
      <w:r w:rsidR="00AE3D47">
        <w:rPr>
          <w:rFonts w:asciiTheme="minorHAnsi" w:hAnsiTheme="minorHAnsi" w:cstheme="minorHAnsi"/>
          <w:sz w:val="22"/>
          <w:szCs w:val="22"/>
        </w:rPr>
        <w:t>u</w:t>
      </w:r>
      <w:r w:rsidR="00F47EEE" w:rsidRPr="00E47AC8">
        <w:rPr>
          <w:rFonts w:asciiTheme="minorHAnsi" w:hAnsiTheme="minorHAnsi" w:cstheme="minorHAnsi"/>
          <w:sz w:val="22"/>
          <w:szCs w:val="22"/>
        </w:rPr>
        <w:t>, tvoriacim P</w:t>
      </w:r>
      <w:r w:rsidR="00B63BD5" w:rsidRPr="00E47AC8">
        <w:rPr>
          <w:rFonts w:asciiTheme="minorHAnsi" w:hAnsiTheme="minorHAnsi" w:cstheme="minorHAnsi"/>
          <w:sz w:val="22"/>
          <w:szCs w:val="22"/>
        </w:rPr>
        <w:t xml:space="preserve">rílohu č. </w:t>
      </w:r>
      <w:r w:rsidR="00AE3D47">
        <w:rPr>
          <w:rFonts w:asciiTheme="minorHAnsi" w:hAnsiTheme="minorHAnsi" w:cstheme="minorHAnsi"/>
          <w:sz w:val="22"/>
          <w:szCs w:val="22"/>
        </w:rPr>
        <w:t>5</w:t>
      </w:r>
      <w:r w:rsidR="00B63BD5" w:rsidRPr="00E47AC8">
        <w:rPr>
          <w:rFonts w:asciiTheme="minorHAnsi" w:hAnsiTheme="minorHAnsi" w:cstheme="minorHAnsi"/>
          <w:sz w:val="22"/>
          <w:szCs w:val="22"/>
        </w:rPr>
        <w:t xml:space="preserve">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(ďalej len „</w:t>
      </w:r>
      <w:r w:rsidR="00B63BD5" w:rsidRPr="00E47AC8">
        <w:rPr>
          <w:rFonts w:asciiTheme="minorHAnsi" w:hAnsiTheme="minorHAnsi" w:cstheme="minorHAnsi"/>
          <w:b/>
          <w:bCs/>
          <w:sz w:val="22"/>
          <w:szCs w:val="22"/>
        </w:rPr>
        <w:t xml:space="preserve">Príloha č. </w:t>
      </w:r>
      <w:r w:rsidR="00AE3D47">
        <w:rPr>
          <w:rFonts w:asciiTheme="minorHAnsi" w:hAnsiTheme="minorHAnsi" w:cstheme="minorHAnsi"/>
          <w:b/>
          <w:bCs/>
          <w:sz w:val="22"/>
          <w:szCs w:val="22"/>
        </w:rPr>
        <w:t>5</w:t>
      </w:r>
      <w:r w:rsidR="00B63BD5" w:rsidRPr="00E47AC8">
        <w:rPr>
          <w:rFonts w:asciiTheme="minorHAnsi" w:hAnsiTheme="minorHAnsi" w:cstheme="minorHAnsi"/>
          <w:sz w:val="22"/>
          <w:szCs w:val="22"/>
        </w:rPr>
        <w:t>“ alebo „</w:t>
      </w:r>
      <w:r w:rsidR="00B63BD5" w:rsidRPr="00E47AC8">
        <w:rPr>
          <w:rFonts w:asciiTheme="minorHAnsi" w:hAnsiTheme="minorHAnsi" w:cstheme="minorHAnsi"/>
          <w:b/>
          <w:bCs/>
          <w:sz w:val="22"/>
          <w:szCs w:val="22"/>
        </w:rPr>
        <w:t>Cenník ND</w:t>
      </w:r>
      <w:r w:rsidR="00F47EEE" w:rsidRPr="00E47AC8">
        <w:rPr>
          <w:rFonts w:asciiTheme="minorHAnsi" w:hAnsiTheme="minorHAnsi" w:cstheme="minorHAnsi"/>
          <w:sz w:val="22"/>
          <w:szCs w:val="22"/>
        </w:rPr>
        <w:t>“), pričom p</w:t>
      </w:r>
      <w:r w:rsidR="00B63BD5" w:rsidRPr="00E47AC8">
        <w:rPr>
          <w:rFonts w:asciiTheme="minorHAnsi" w:hAnsiTheme="minorHAnsi" w:cstheme="minorHAnsi"/>
          <w:sz w:val="22"/>
          <w:szCs w:val="22"/>
        </w:rPr>
        <w:t>osk</w:t>
      </w:r>
      <w:r w:rsidR="00F47EEE" w:rsidRPr="00E47AC8">
        <w:rPr>
          <w:rFonts w:asciiTheme="minorHAnsi" w:hAnsiTheme="minorHAnsi" w:cstheme="minorHAnsi"/>
          <w:sz w:val="22"/>
          <w:szCs w:val="22"/>
        </w:rPr>
        <w:t xml:space="preserve">ytovateľ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 skutočne použitých pri oprave, okrem náhradných dielov zabezpečených objednávateľom od iného dodávateľa v zmysle článku V. bod. 3. tejto zmluvy.</w:t>
      </w:r>
    </w:p>
    <w:p w14:paraId="6C8ACA0D" w14:textId="4C6E8987" w:rsidR="00B63BD5" w:rsidRDefault="00CF6F05" w:rsidP="00F15D19">
      <w:pPr>
        <w:pStyle w:val="Default"/>
        <w:ind w:left="567" w:hanging="567"/>
        <w:jc w:val="both"/>
        <w:rPr>
          <w:rFonts w:asciiTheme="minorHAnsi" w:hAnsiTheme="minorHAnsi" w:cstheme="minorHAnsi"/>
          <w:sz w:val="22"/>
          <w:szCs w:val="22"/>
        </w:rPr>
      </w:pPr>
      <w:r>
        <w:rPr>
          <w:rFonts w:asciiTheme="minorHAnsi" w:hAnsiTheme="minorHAnsi" w:cstheme="minorHAnsi"/>
          <w:sz w:val="22"/>
          <w:szCs w:val="22"/>
        </w:rPr>
        <w:t>8</w:t>
      </w:r>
      <w:r w:rsidR="00B02161">
        <w:rPr>
          <w:rFonts w:asciiTheme="minorHAnsi" w:hAnsiTheme="minorHAnsi" w:cstheme="minorHAnsi"/>
          <w:sz w:val="22"/>
          <w:szCs w:val="22"/>
        </w:rPr>
        <w:t xml:space="preserve">.   </w:t>
      </w:r>
      <w:r w:rsidR="00F15D19">
        <w:rPr>
          <w:rFonts w:asciiTheme="minorHAnsi" w:hAnsiTheme="minorHAnsi" w:cstheme="minorHAnsi"/>
          <w:sz w:val="22"/>
          <w:szCs w:val="22"/>
        </w:rPr>
        <w:t xml:space="preserve"> </w:t>
      </w:r>
      <w:r w:rsidR="00F15D19">
        <w:rPr>
          <w:rFonts w:asciiTheme="minorHAnsi" w:hAnsiTheme="minorHAnsi" w:cstheme="minorHAnsi"/>
          <w:sz w:val="22"/>
          <w:szCs w:val="22"/>
        </w:rPr>
        <w:tab/>
      </w:r>
      <w:r w:rsidR="00B63BD5" w:rsidRPr="00E47AC8">
        <w:rPr>
          <w:rFonts w:asciiTheme="minorHAnsi" w:hAnsiTheme="minorHAnsi" w:cstheme="minorHAnsi"/>
          <w:sz w:val="22"/>
          <w:szCs w:val="22"/>
        </w:rPr>
        <w:t xml:space="preserve">V prípade, že počas doby trvania tejto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výrobca, ktorý dodáva náhradný die</w:t>
      </w:r>
      <w:r w:rsidR="001D2545">
        <w:rPr>
          <w:rFonts w:asciiTheme="minorHAnsi" w:hAnsiTheme="minorHAnsi" w:cstheme="minorHAnsi"/>
          <w:sz w:val="22"/>
          <w:szCs w:val="22"/>
        </w:rPr>
        <w:t>l</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oskytovateľovi, zníži ceny náhradných dielov, ktoré sú uvedené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zníži ceny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bjednávateľovi v rovnakom pomere, ako boli znížené ceny zo strany výrobcu.</w:t>
      </w:r>
      <w:r w:rsidR="00AC38A7" w:rsidRPr="00E47AC8">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V prípade nutnosti použitia náhradného dielu, ktorý nie je obsiahnutý v Prílohe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je možné (po vzájomnej dohode zmluvných strán) Prílohu č. </w:t>
      </w:r>
      <w:r w:rsidR="001D2545">
        <w:rPr>
          <w:rFonts w:asciiTheme="minorHAnsi" w:hAnsiTheme="minorHAnsi" w:cstheme="minorHAnsi"/>
          <w:sz w:val="22"/>
          <w:szCs w:val="22"/>
        </w:rPr>
        <w:t>5</w:t>
      </w:r>
      <w:r w:rsidR="00B63BD5" w:rsidRPr="00E47AC8">
        <w:rPr>
          <w:rFonts w:asciiTheme="minorHAnsi" w:hAnsiTheme="minorHAnsi" w:cstheme="minorHAnsi"/>
          <w:sz w:val="22"/>
          <w:szCs w:val="22"/>
        </w:rPr>
        <w:t xml:space="preserve"> rozšíriť o ďalšie náhradné diely, bez nutnosti uzatvorenia písomného dodatku k tejto </w:t>
      </w:r>
      <w:r w:rsidR="00CD2EAD" w:rsidRPr="00E47AC8">
        <w:rPr>
          <w:rFonts w:asciiTheme="minorHAnsi" w:hAnsiTheme="minorHAnsi" w:cstheme="minorHAnsi"/>
          <w:sz w:val="22"/>
          <w:szCs w:val="22"/>
        </w:rPr>
        <w:t>z</w:t>
      </w:r>
      <w:r w:rsidR="00B63BD5" w:rsidRPr="00E47AC8">
        <w:rPr>
          <w:rFonts w:asciiTheme="minorHAnsi" w:hAnsiTheme="minorHAnsi" w:cstheme="minorHAnsi"/>
          <w:sz w:val="22"/>
          <w:szCs w:val="22"/>
        </w:rPr>
        <w:t>mluve, po odsúhlasení indi</w:t>
      </w:r>
      <w:r w:rsidR="00F47EEE" w:rsidRPr="00E47AC8">
        <w:rPr>
          <w:rFonts w:asciiTheme="minorHAnsi" w:hAnsiTheme="minorHAnsi" w:cstheme="minorHAnsi"/>
          <w:sz w:val="22"/>
          <w:szCs w:val="22"/>
        </w:rPr>
        <w:t xml:space="preserve">viduálnej </w:t>
      </w:r>
      <w:r w:rsidR="001D2545">
        <w:rPr>
          <w:rFonts w:asciiTheme="minorHAnsi" w:hAnsiTheme="minorHAnsi" w:cstheme="minorHAnsi"/>
          <w:sz w:val="22"/>
          <w:szCs w:val="22"/>
        </w:rPr>
        <w:t>cenovej ponuky</w:t>
      </w:r>
      <w:r w:rsidR="006D1962">
        <w:rPr>
          <w:rFonts w:asciiTheme="minorHAnsi" w:hAnsiTheme="minorHAnsi" w:cstheme="minorHAnsi"/>
          <w:sz w:val="22"/>
          <w:szCs w:val="22"/>
        </w:rPr>
        <w:t xml:space="preserve"> </w:t>
      </w:r>
      <w:r w:rsidR="00F47EEE" w:rsidRPr="00E47AC8">
        <w:rPr>
          <w:rFonts w:asciiTheme="minorHAnsi" w:hAnsiTheme="minorHAnsi" w:cstheme="minorHAnsi"/>
          <w:sz w:val="22"/>
          <w:szCs w:val="22"/>
        </w:rPr>
        <w:t>o</w:t>
      </w:r>
      <w:r w:rsidR="00B63BD5" w:rsidRPr="00E47AC8">
        <w:rPr>
          <w:rFonts w:asciiTheme="minorHAnsi" w:hAnsiTheme="minorHAnsi" w:cstheme="minorHAnsi"/>
          <w:sz w:val="22"/>
          <w:szCs w:val="22"/>
        </w:rPr>
        <w:t xml:space="preserve">bjednávateľom, pričom táto zmena nemá vplyv na maximálnu cenu za vykonané opravy podľa bodu </w:t>
      </w:r>
      <w:r w:rsidR="00030C08">
        <w:rPr>
          <w:rFonts w:asciiTheme="minorHAnsi" w:hAnsiTheme="minorHAnsi" w:cstheme="minorHAnsi"/>
          <w:sz w:val="22"/>
          <w:szCs w:val="22"/>
        </w:rPr>
        <w:t>10</w:t>
      </w:r>
      <w:r w:rsidR="00B02161" w:rsidRPr="00AB52CE">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tohto článku </w:t>
      </w:r>
      <w:r w:rsidR="00F47EEE" w:rsidRPr="00E47AC8">
        <w:rPr>
          <w:rFonts w:asciiTheme="minorHAnsi" w:hAnsiTheme="minorHAnsi" w:cstheme="minorHAnsi"/>
          <w:sz w:val="22"/>
          <w:szCs w:val="22"/>
        </w:rPr>
        <w:t>z</w:t>
      </w:r>
      <w:r w:rsidR="00B63BD5" w:rsidRPr="00E47AC8">
        <w:rPr>
          <w:rFonts w:asciiTheme="minorHAnsi" w:hAnsiTheme="minorHAnsi" w:cstheme="minorHAnsi"/>
          <w:sz w:val="22"/>
          <w:szCs w:val="22"/>
        </w:rPr>
        <w:t xml:space="preserve">mluvy. </w:t>
      </w:r>
    </w:p>
    <w:p w14:paraId="51465D3D" w14:textId="6326D219" w:rsidR="00B02161" w:rsidRDefault="00CF6F05"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9</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2E67415C" w:rsidR="00261573" w:rsidRPr="00B02161" w:rsidRDefault="00CF6F05"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10</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A24DDF">
        <w:rPr>
          <w:rFonts w:asciiTheme="minorHAnsi" w:hAnsiTheme="minorHAnsi" w:cstheme="minorHAnsi"/>
          <w:b/>
          <w:bCs/>
          <w:color w:val="000000" w:themeColor="text1"/>
          <w:sz w:val="22"/>
          <w:szCs w:val="22"/>
        </w:rPr>
        <w:t>15.</w:t>
      </w:r>
      <w:r w:rsidR="00474B1B">
        <w:rPr>
          <w:rFonts w:asciiTheme="minorHAnsi" w:hAnsiTheme="minorHAnsi" w:cstheme="minorHAnsi"/>
          <w:b/>
          <w:bCs/>
          <w:color w:val="000000" w:themeColor="text1"/>
          <w:sz w:val="22"/>
          <w:szCs w:val="22"/>
        </w:rPr>
        <w:t>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4B1B">
        <w:rPr>
          <w:rFonts w:asciiTheme="minorHAnsi" w:hAnsiTheme="minorHAnsi" w:cstheme="minorHAnsi"/>
          <w:sz w:val="22"/>
          <w:szCs w:val="22"/>
        </w:rPr>
        <w:t xml:space="preserve">päťdesiattisíc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49ECA245" w:rsidR="005A1CAB" w:rsidRPr="00E47AC8" w:rsidRDefault="00CF6F05"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11</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5167C550" w:rsidR="0043500B" w:rsidRPr="003245FA" w:rsidRDefault="00B02161"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w:t>
      </w:r>
      <w:r w:rsidR="00CF6F05">
        <w:rPr>
          <w:rFonts w:asciiTheme="minorHAnsi" w:hAnsiTheme="minorHAnsi" w:cstheme="minorHAnsi"/>
          <w:color w:val="000000" w:themeColor="text1"/>
          <w:sz w:val="22"/>
          <w:szCs w:val="22"/>
        </w:rPr>
        <w:t>2</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3B7EB03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 xml:space="preserve">náhradné diely,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E47AC8">
        <w:rPr>
          <w:rFonts w:asciiTheme="minorHAnsi" w:hAnsiTheme="minorHAnsi" w:cstheme="minorHAnsi"/>
          <w:sz w:val="22"/>
          <w:szCs w:val="22"/>
        </w:rPr>
        <w:lastRenderedPageBreak/>
        <w:t>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3C4E0CB1"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087671">
        <w:rPr>
          <w:rFonts w:asciiTheme="minorHAnsi" w:hAnsiTheme="minorHAnsi" w:cstheme="minorHAnsi"/>
          <w:bCs/>
          <w:color w:val="000000" w:themeColor="text1"/>
          <w:sz w:val="22"/>
          <w:szCs w:val="22"/>
        </w:rPr>
        <w:t>7</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0CDAD5D8"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V prípade, ak predmetom subdodávky bude priamo vykonávanie Servisných služieb (</w:t>
      </w:r>
      <w:proofErr w:type="spellStart"/>
      <w:r w:rsidR="00947F98">
        <w:rPr>
          <w:rFonts w:asciiTheme="minorHAnsi" w:hAnsiTheme="minorHAnsi" w:cstheme="minorHAnsi"/>
          <w:sz w:val="22"/>
          <w:szCs w:val="22"/>
        </w:rPr>
        <w:t>t.j</w:t>
      </w:r>
      <w:proofErr w:type="spellEnd"/>
      <w:r w:rsidR="00947F98">
        <w:rPr>
          <w:rFonts w:asciiTheme="minorHAnsi" w:hAnsiTheme="minorHAnsi" w:cstheme="minorHAnsi"/>
          <w:sz w:val="22"/>
          <w:szCs w:val="22"/>
        </w:rPr>
        <w:t>. vykonanie profylaktického servisu</w:t>
      </w:r>
      <w:r w:rsidR="0082691C">
        <w:rPr>
          <w:rFonts w:asciiTheme="minorHAnsi" w:hAnsiTheme="minorHAnsi" w:cstheme="minorHAnsi"/>
          <w:sz w:val="22"/>
          <w:szCs w:val="22"/>
        </w:rPr>
        <w:t>, diagnostiky</w:t>
      </w:r>
      <w:r w:rsidR="00AB52CE">
        <w:rPr>
          <w:rFonts w:asciiTheme="minorHAnsi" w:hAnsiTheme="minorHAnsi" w:cstheme="minorHAnsi"/>
          <w:sz w:val="22"/>
          <w:szCs w:val="22"/>
        </w:rPr>
        <w:t xml:space="preserve"> alebo opravy Z</w:t>
      </w:r>
      <w:r w:rsidR="00947F98">
        <w:rPr>
          <w:rFonts w:asciiTheme="minorHAnsi" w:hAnsiTheme="minorHAnsi" w:cstheme="minorHAnsi"/>
          <w:sz w:val="22"/>
          <w:szCs w:val="22"/>
        </w:rPr>
        <w:t>ariadení), subdodávateľom môže byť len osoba, ktorá disponuje oprávnením</w:t>
      </w:r>
      <w:r w:rsidR="002811D2">
        <w:rPr>
          <w:rFonts w:asciiTheme="minorHAnsi" w:hAnsiTheme="minorHAnsi" w:cstheme="minorHAnsi"/>
          <w:sz w:val="22"/>
          <w:szCs w:val="22"/>
        </w:rPr>
        <w:t xml:space="preserve"> </w:t>
      </w:r>
      <w:r w:rsidR="002811D2" w:rsidRPr="00F00E5C">
        <w:rPr>
          <w:rFonts w:asciiTheme="minorHAnsi" w:hAnsiTheme="minorHAnsi" w:cstheme="minorHAnsi"/>
          <w:sz w:val="22"/>
          <w:szCs w:val="22"/>
        </w:rPr>
        <w:t xml:space="preserve">na vykonávanie autorizovaného servisu od výrobcu čerpadiel a miešadiel </w:t>
      </w:r>
      <w:r w:rsidR="00B03431">
        <w:rPr>
          <w:rFonts w:asciiTheme="minorHAnsi" w:hAnsiTheme="minorHAnsi" w:cstheme="minorHAnsi"/>
          <w:sz w:val="22"/>
          <w:szCs w:val="22"/>
        </w:rPr>
        <w:t>KSB</w:t>
      </w:r>
      <w:r w:rsidR="002811D2">
        <w:rPr>
          <w:rFonts w:asciiTheme="minorHAnsi" w:hAnsiTheme="minorHAnsi" w:cstheme="minorHAnsi"/>
          <w:sz w:val="22"/>
          <w:szCs w:val="22"/>
        </w:rPr>
        <w:t>.</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66718CC7" w:rsidR="00D56E61" w:rsidRPr="00A24DDF"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A24DDF">
        <w:rPr>
          <w:rFonts w:asciiTheme="minorHAnsi" w:hAnsiTheme="minorHAnsi" w:cstheme="minorHAnsi"/>
          <w:sz w:val="22"/>
          <w:szCs w:val="22"/>
        </w:rPr>
        <w:lastRenderedPageBreak/>
        <w:t xml:space="preserve">Objednávateľ neudelí súhlas v zmysle bodu 4. tohto článku, </w:t>
      </w:r>
      <w:r w:rsidR="00C54CD0" w:rsidRPr="00A24DDF">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najmä </w:t>
      </w:r>
      <w:r w:rsidR="00C54CD0" w:rsidRPr="00A24DDF">
        <w:rPr>
          <w:rFonts w:asciiTheme="minorHAnsi" w:hAnsiTheme="minorHAnsi" w:cstheme="minorHAnsi"/>
          <w:sz w:val="22"/>
          <w:szCs w:val="22"/>
        </w:rPr>
        <w:t xml:space="preserve">ak </w:t>
      </w:r>
      <w:r w:rsidR="002811D2" w:rsidRPr="00A24DDF">
        <w:rPr>
          <w:rFonts w:asciiTheme="minorHAnsi" w:hAnsiTheme="minorHAnsi" w:cstheme="minorHAnsi"/>
          <w:sz w:val="22"/>
          <w:szCs w:val="22"/>
        </w:rPr>
        <w:t xml:space="preserve">subdodávateľ nedisponuje  oprávnením na vykonávanie autorizovaného servisu od výrobcu čerpadiel a miešadiel </w:t>
      </w:r>
      <w:r w:rsidR="00A24DDF">
        <w:rPr>
          <w:rFonts w:asciiTheme="minorHAnsi" w:hAnsiTheme="minorHAnsi" w:cstheme="minorHAnsi"/>
          <w:sz w:val="22"/>
          <w:szCs w:val="22"/>
        </w:rPr>
        <w:t>KSB</w:t>
      </w:r>
      <w:r w:rsidR="002811D2" w:rsidRPr="00A24DDF">
        <w:rPr>
          <w:rFonts w:asciiTheme="minorHAnsi" w:hAnsiTheme="minorHAnsi" w:cstheme="minorHAnsi"/>
          <w:sz w:val="22"/>
          <w:szCs w:val="22"/>
        </w:rPr>
        <w:t xml:space="preserve"> v zmysle bodu 3. tohto článku alebo ak </w:t>
      </w:r>
      <w:r w:rsidRPr="00A24DDF">
        <w:rPr>
          <w:rFonts w:asciiTheme="minorHAnsi" w:hAnsiTheme="minorHAnsi" w:cstheme="minorHAnsi"/>
          <w:sz w:val="22"/>
          <w:szCs w:val="22"/>
        </w:rPr>
        <w:t>nespĺňa povinnosti vyplývajúce mu zo zákona č. 315/2016 Z. z. o registri partnerov verejného sektora a o zmene a doplnení niektorých zákonov a/alebo nespĺňa podmienky osobného postavenia podľa § 32 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5940DB3"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087671">
        <w:rPr>
          <w:rFonts w:asciiTheme="minorHAnsi" w:hAnsiTheme="minorHAnsi" w:cstheme="minorHAnsi"/>
          <w:sz w:val="22"/>
          <w:szCs w:val="22"/>
        </w:rPr>
        <w:t>7</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Pr="00E47AC8" w:rsidRDefault="00E47AC8"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w:t>
      </w:r>
      <w:r w:rsidRPr="00E47AC8">
        <w:rPr>
          <w:rFonts w:asciiTheme="minorHAnsi" w:hAnsiTheme="minorHAnsi" w:cstheme="minorHAnsi"/>
          <w:iCs/>
          <w:sz w:val="22"/>
          <w:szCs w:val="22"/>
        </w:rPr>
        <w:lastRenderedPageBreak/>
        <w:t>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6D4075B7" w14:textId="2A7FBE0E" w:rsidR="002A2D6C" w:rsidRPr="00E47AC8" w:rsidRDefault="002811D2"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Pr>
          <w:rFonts w:asciiTheme="minorHAnsi" w:hAnsiTheme="minorHAnsi" w:cstheme="minorHAnsi"/>
          <w:sz w:val="22"/>
          <w:szCs w:val="22"/>
        </w:rPr>
        <w:t xml:space="preserve">pokiaľ poskytovateľ stratí oprávnenie </w:t>
      </w:r>
      <w:r w:rsidRPr="00F00E5C">
        <w:rPr>
          <w:rFonts w:asciiTheme="minorHAnsi" w:hAnsiTheme="minorHAnsi" w:cstheme="minorHAnsi"/>
          <w:sz w:val="22"/>
          <w:szCs w:val="22"/>
        </w:rPr>
        <w:t xml:space="preserve">a vykonávanie autorizovaného servisu od výrobcu čerpadiel a miešadiel </w:t>
      </w:r>
      <w:r w:rsidR="00A24DDF">
        <w:rPr>
          <w:rFonts w:asciiTheme="minorHAnsi" w:hAnsiTheme="minorHAnsi" w:cstheme="minorHAnsi"/>
          <w:sz w:val="22"/>
          <w:szCs w:val="22"/>
        </w:rPr>
        <w:t>KSB</w:t>
      </w:r>
      <w:r w:rsidR="002A2D6C" w:rsidRPr="00E47AC8">
        <w:rPr>
          <w:rFonts w:asciiTheme="minorHAnsi" w:hAnsiTheme="minorHAnsi" w:cstheme="minorHAnsi"/>
          <w:sz w:val="22"/>
          <w:szCs w:val="22"/>
        </w:rPr>
        <w:t>,</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 xml:space="preserve">s výnimkou tých ustanovení, ktoré majú sankčný charakter </w:t>
      </w:r>
      <w:r w:rsidRPr="00E47AC8">
        <w:rPr>
          <w:rFonts w:asciiTheme="minorHAnsi" w:hAnsiTheme="minorHAnsi" w:cstheme="minorHAnsi"/>
          <w:sz w:val="22"/>
          <w:szCs w:val="22"/>
        </w:rPr>
        <w:lastRenderedPageBreak/>
        <w:t>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47BBD4EE"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266504" w:rsidRPr="00E47AC8">
        <w:rPr>
          <w:rFonts w:asciiTheme="minorHAnsi" w:hAnsiTheme="minorHAnsi" w:cstheme="minorHAnsi"/>
          <w:sz w:val="22"/>
          <w:szCs w:val="22"/>
        </w:rPr>
        <w:t>8</w:t>
      </w:r>
      <w:r w:rsidRPr="00E47AC8">
        <w:rPr>
          <w:rFonts w:asciiTheme="minorHAnsi" w:hAnsiTheme="minorHAnsi" w:cstheme="minorHAnsi"/>
          <w:sz w:val="22"/>
          <w:szCs w:val="22"/>
        </w:rPr>
        <w:t xml:space="preserve"> tejto zmluvy - Dôvodová správa (ďalej len „Príloha č. </w:t>
      </w:r>
      <w:r w:rsidR="00087671">
        <w:rPr>
          <w:rFonts w:asciiTheme="minorHAnsi" w:hAnsiTheme="minorHAnsi" w:cstheme="minorHAnsi"/>
          <w:sz w:val="22"/>
          <w:szCs w:val="22"/>
        </w:rPr>
        <w:t>8</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w:t>
      </w:r>
      <w:r w:rsidRPr="00E47AC8">
        <w:rPr>
          <w:rFonts w:asciiTheme="minorHAnsi" w:hAnsiTheme="minorHAnsi" w:cstheme="minorHAnsi"/>
          <w:sz w:val="22"/>
          <w:szCs w:val="22"/>
        </w:rPr>
        <w:lastRenderedPageBreak/>
        <w:t>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6011F849"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w:t>
      </w:r>
      <w:r w:rsidRPr="00E47AC8">
        <w:rPr>
          <w:rFonts w:asciiTheme="minorHAnsi" w:hAnsiTheme="minorHAnsi" w:cstheme="minorHAnsi"/>
          <w:sz w:val="22"/>
          <w:szCs w:val="22"/>
        </w:rPr>
        <w:lastRenderedPageBreak/>
        <w:t xml:space="preserve">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087671">
        <w:rPr>
          <w:rFonts w:asciiTheme="minorHAnsi" w:hAnsiTheme="minorHAnsi" w:cstheme="minorHAnsi"/>
          <w:sz w:val="22"/>
          <w:szCs w:val="22"/>
        </w:rPr>
        <w:t>9</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0BB7C8C7" w:rsidR="00D81A2D" w:rsidRPr="003553D5"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w:t>
      </w: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w:t>
      </w:r>
      <w:r w:rsidRPr="00E47AC8">
        <w:rPr>
          <w:rFonts w:asciiTheme="minorHAnsi" w:hAnsiTheme="minorHAnsi" w:cstheme="minorHAnsi"/>
          <w:sz w:val="22"/>
          <w:szCs w:val="22"/>
        </w:rPr>
        <w:lastRenderedPageBreak/>
        <w:t xml:space="preserve">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344A0040" w14:textId="15804EAB" w:rsidR="00266504" w:rsidRPr="00C11360" w:rsidRDefault="0082691C"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266504" w:rsidRPr="00C11360">
        <w:rPr>
          <w:rFonts w:asciiTheme="minorHAnsi" w:hAnsiTheme="minorHAnsi" w:cstheme="minorHAnsi"/>
          <w:sz w:val="22"/>
          <w:szCs w:val="22"/>
        </w:rPr>
        <w:t>Cenník ND</w:t>
      </w:r>
      <w:r w:rsidR="00A16F73" w:rsidRPr="00C11360">
        <w:rPr>
          <w:rFonts w:asciiTheme="minorHAnsi" w:hAnsiTheme="minorHAnsi" w:cstheme="minorHAnsi"/>
          <w:sz w:val="22"/>
          <w:szCs w:val="22"/>
        </w:rPr>
        <w:t>,</w:t>
      </w:r>
    </w:p>
    <w:p w14:paraId="15F86C26" w14:textId="7D02FE59"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Príloha č. 6</w:t>
      </w:r>
      <w:r w:rsidR="00C11360" w:rsidRPr="00C11360">
        <w:rPr>
          <w:rFonts w:asciiTheme="minorHAnsi" w:hAnsiTheme="minorHAnsi" w:cstheme="minorHAnsi"/>
          <w:sz w:val="22"/>
          <w:szCs w:val="22"/>
        </w:rPr>
        <w:t xml:space="preserve"> - Žiadosť o prerušenie plnenia povinností poskytovateľa</w:t>
      </w:r>
    </w:p>
    <w:p w14:paraId="7659998F" w14:textId="0EBCFB0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7</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08E9B34B"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087671">
        <w:rPr>
          <w:rFonts w:asciiTheme="minorHAnsi" w:hAnsiTheme="minorHAnsi" w:cstheme="minorHAnsi"/>
          <w:sz w:val="22"/>
          <w:szCs w:val="22"/>
        </w:rPr>
        <w:t>8</w:t>
      </w:r>
      <w:r w:rsidRPr="00C11360">
        <w:rPr>
          <w:rFonts w:asciiTheme="minorHAnsi" w:hAnsiTheme="minorHAnsi" w:cstheme="minorHAnsi"/>
          <w:sz w:val="22"/>
          <w:szCs w:val="22"/>
        </w:rPr>
        <w:t xml:space="preserve"> - Dôvodová správa,</w:t>
      </w:r>
    </w:p>
    <w:p w14:paraId="4CA9BBBE" w14:textId="6E6CDF19"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087671">
        <w:rPr>
          <w:rFonts w:asciiTheme="minorHAnsi" w:hAnsiTheme="minorHAnsi" w:cstheme="minorHAnsi"/>
          <w:sz w:val="22"/>
          <w:szCs w:val="22"/>
        </w:rPr>
        <w:t>9</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3D962E05"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10</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6AD06BCF" w14:textId="77777777" w:rsidR="00781A3A" w:rsidRDefault="00781A3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Default="003245FA" w:rsidP="003245FA">
      <w:pPr>
        <w:jc w:val="right"/>
        <w:rPr>
          <w:rFonts w:asciiTheme="minorHAnsi" w:hAnsiTheme="minorHAnsi" w:cstheme="minorHAnsi"/>
          <w:i/>
          <w:szCs w:val="22"/>
        </w:rPr>
      </w:pPr>
    </w:p>
    <w:p w14:paraId="300AE14D" w14:textId="77777777" w:rsidR="00781A3A" w:rsidRDefault="00781A3A" w:rsidP="003245FA">
      <w:pPr>
        <w:jc w:val="right"/>
        <w:rPr>
          <w:rFonts w:asciiTheme="minorHAnsi" w:hAnsiTheme="minorHAnsi" w:cstheme="minorHAnsi"/>
          <w:i/>
          <w:szCs w:val="22"/>
        </w:rPr>
      </w:pPr>
    </w:p>
    <w:p w14:paraId="312AFFB1" w14:textId="77777777" w:rsidR="00781A3A" w:rsidRPr="003245FA" w:rsidRDefault="00781A3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43513D18" w14:textId="58267FF2"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w:t>
      </w:r>
      <w:r w:rsidR="00087671">
        <w:rPr>
          <w:rFonts w:asciiTheme="minorHAnsi" w:hAnsiTheme="minorHAnsi" w:cstheme="minorHAnsi"/>
          <w:i/>
          <w:szCs w:val="22"/>
        </w:rPr>
        <w:t>ha č. 5</w:t>
      </w:r>
    </w:p>
    <w:p w14:paraId="1EA188FA" w14:textId="77777777" w:rsidR="003245FA" w:rsidRDefault="003245FA" w:rsidP="007035C1">
      <w:pPr>
        <w:rPr>
          <w:rFonts w:asciiTheme="minorHAnsi" w:hAnsiTheme="minorHAnsi" w:cstheme="minorHAnsi"/>
          <w:i/>
          <w:szCs w:val="22"/>
        </w:rPr>
      </w:pPr>
    </w:p>
    <w:p w14:paraId="3610AEB2" w14:textId="77777777" w:rsidR="003245FA" w:rsidRDefault="003245FA" w:rsidP="007035C1">
      <w:pPr>
        <w:rPr>
          <w:rFonts w:asciiTheme="minorHAnsi" w:hAnsiTheme="minorHAnsi" w:cstheme="minorHAnsi"/>
          <w:i/>
          <w:szCs w:val="22"/>
        </w:rPr>
      </w:pPr>
    </w:p>
    <w:p w14:paraId="390AAE44" w14:textId="77777777" w:rsidR="003245FA" w:rsidRDefault="003245FA" w:rsidP="007035C1">
      <w:pPr>
        <w:rPr>
          <w:rFonts w:asciiTheme="minorHAnsi" w:hAnsiTheme="minorHAnsi" w:cstheme="minorHAnsi"/>
          <w:i/>
          <w:szCs w:val="22"/>
        </w:rPr>
      </w:pPr>
    </w:p>
    <w:p w14:paraId="69CC4B1B" w14:textId="77777777" w:rsidR="003245FA" w:rsidRPr="00425911" w:rsidRDefault="003245FA" w:rsidP="00425911">
      <w:pPr>
        <w:jc w:val="center"/>
        <w:rPr>
          <w:rFonts w:asciiTheme="minorHAnsi" w:hAnsiTheme="minorHAnsi" w:cstheme="minorHAnsi"/>
          <w:b/>
          <w:i/>
          <w:sz w:val="28"/>
          <w:szCs w:val="28"/>
        </w:rPr>
      </w:pPr>
      <w:r w:rsidRPr="00425911">
        <w:rPr>
          <w:rFonts w:asciiTheme="minorHAnsi" w:hAnsiTheme="minorHAnsi" w:cstheme="minorHAnsi"/>
          <w:b/>
          <w:sz w:val="28"/>
          <w:szCs w:val="28"/>
        </w:rPr>
        <w:t>Cenník ND</w:t>
      </w:r>
    </w:p>
    <w:p w14:paraId="5D6A33EE" w14:textId="77777777" w:rsidR="003245FA" w:rsidRDefault="003245FA" w:rsidP="007035C1">
      <w:pPr>
        <w:rPr>
          <w:rFonts w:asciiTheme="minorHAnsi" w:hAnsiTheme="minorHAnsi" w:cstheme="minorHAnsi"/>
          <w:i/>
          <w:szCs w:val="22"/>
        </w:rPr>
      </w:pPr>
    </w:p>
    <w:p w14:paraId="4E572B98" w14:textId="77777777" w:rsidR="003245FA" w:rsidRDefault="003245FA" w:rsidP="007035C1">
      <w:pPr>
        <w:rPr>
          <w:rFonts w:asciiTheme="minorHAnsi" w:hAnsiTheme="minorHAnsi" w:cstheme="minorHAnsi"/>
          <w:i/>
          <w:szCs w:val="22"/>
        </w:rPr>
      </w:pPr>
    </w:p>
    <w:p w14:paraId="013042E9" w14:textId="77777777" w:rsidR="003245FA" w:rsidRDefault="003245FA" w:rsidP="007035C1">
      <w:pPr>
        <w:rPr>
          <w:rFonts w:asciiTheme="minorHAnsi" w:hAnsiTheme="minorHAnsi" w:cstheme="minorHAnsi"/>
          <w:i/>
          <w:szCs w:val="22"/>
        </w:rPr>
      </w:pPr>
    </w:p>
    <w:p w14:paraId="33838C35" w14:textId="77777777" w:rsidR="003245FA" w:rsidRDefault="003245FA" w:rsidP="007035C1">
      <w:pPr>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0BDB271A" w14:textId="77777777" w:rsidR="003245FA" w:rsidRDefault="003245FA" w:rsidP="007035C1">
      <w:pPr>
        <w:rPr>
          <w:rFonts w:asciiTheme="minorHAnsi" w:hAnsiTheme="minorHAnsi" w:cstheme="minorHAnsi"/>
          <w:i/>
          <w:szCs w:val="22"/>
        </w:rPr>
      </w:pPr>
    </w:p>
    <w:p w14:paraId="7177D826" w14:textId="77777777" w:rsidR="003245FA" w:rsidRDefault="003245FA" w:rsidP="007035C1">
      <w:pPr>
        <w:rPr>
          <w:rFonts w:asciiTheme="minorHAnsi" w:hAnsiTheme="minorHAnsi" w:cstheme="minorHAnsi"/>
          <w:i/>
          <w:szCs w:val="22"/>
        </w:rPr>
      </w:pPr>
    </w:p>
    <w:p w14:paraId="1DAC237E" w14:textId="77777777" w:rsidR="00425911" w:rsidRDefault="00425911" w:rsidP="007035C1">
      <w:pPr>
        <w:rPr>
          <w:rFonts w:asciiTheme="minorHAnsi" w:hAnsiTheme="minorHAnsi" w:cstheme="minorHAnsi"/>
          <w:i/>
          <w:szCs w:val="22"/>
        </w:rPr>
      </w:pPr>
    </w:p>
    <w:p w14:paraId="6FDA4BA6" w14:textId="77777777" w:rsidR="00425911" w:rsidRDefault="00425911" w:rsidP="007035C1">
      <w:pPr>
        <w:rPr>
          <w:rFonts w:asciiTheme="minorHAnsi" w:hAnsiTheme="minorHAnsi" w:cstheme="minorHAnsi"/>
          <w:i/>
          <w:szCs w:val="22"/>
        </w:rPr>
      </w:pPr>
    </w:p>
    <w:p w14:paraId="249505F5" w14:textId="77777777" w:rsidR="00425911" w:rsidRDefault="00425911" w:rsidP="007035C1">
      <w:pPr>
        <w:rPr>
          <w:rFonts w:asciiTheme="minorHAnsi" w:hAnsiTheme="minorHAnsi" w:cstheme="minorHAnsi"/>
          <w:i/>
          <w:szCs w:val="22"/>
        </w:rPr>
      </w:pPr>
    </w:p>
    <w:p w14:paraId="04125C01" w14:textId="77777777" w:rsidR="00425911" w:rsidRDefault="00425911" w:rsidP="007035C1">
      <w:pPr>
        <w:rPr>
          <w:rFonts w:asciiTheme="minorHAnsi" w:hAnsiTheme="minorHAnsi" w:cstheme="minorHAnsi"/>
          <w:i/>
          <w:szCs w:val="22"/>
        </w:rPr>
      </w:pPr>
    </w:p>
    <w:p w14:paraId="4F60373A" w14:textId="77777777" w:rsidR="00425911" w:rsidRDefault="00425911" w:rsidP="007035C1">
      <w:pPr>
        <w:rPr>
          <w:rFonts w:asciiTheme="minorHAnsi" w:hAnsiTheme="minorHAnsi" w:cstheme="minorHAnsi"/>
          <w:i/>
          <w:szCs w:val="22"/>
        </w:rPr>
      </w:pPr>
    </w:p>
    <w:p w14:paraId="393393FF" w14:textId="77777777" w:rsidR="00425911" w:rsidRDefault="00425911" w:rsidP="00425911">
      <w:pPr>
        <w:rPr>
          <w:rFonts w:asciiTheme="minorHAnsi" w:hAnsiTheme="minorHAnsi" w:cstheme="minorHAnsi"/>
          <w:i/>
          <w:szCs w:val="22"/>
        </w:rPr>
      </w:pPr>
    </w:p>
    <w:p w14:paraId="0AC17502" w14:textId="77777777" w:rsidR="00425911" w:rsidRDefault="00425911" w:rsidP="00425911">
      <w:pPr>
        <w:rPr>
          <w:rFonts w:asciiTheme="minorHAnsi" w:hAnsiTheme="minorHAnsi" w:cstheme="minorHAnsi"/>
          <w:i/>
          <w:szCs w:val="22"/>
        </w:rPr>
      </w:pPr>
    </w:p>
    <w:p w14:paraId="3AB27943" w14:textId="77777777" w:rsidR="00425911" w:rsidRDefault="00425911" w:rsidP="00425911">
      <w:pPr>
        <w:rPr>
          <w:rFonts w:asciiTheme="minorHAnsi" w:hAnsiTheme="minorHAnsi" w:cstheme="minorHAnsi"/>
          <w:i/>
          <w:szCs w:val="22"/>
        </w:rPr>
      </w:pPr>
    </w:p>
    <w:p w14:paraId="6BE2C745" w14:textId="77777777" w:rsidR="00425911" w:rsidRDefault="00425911" w:rsidP="00425911">
      <w:pPr>
        <w:rPr>
          <w:rFonts w:asciiTheme="minorHAnsi" w:hAnsiTheme="minorHAnsi" w:cstheme="minorHAnsi"/>
          <w:i/>
          <w:szCs w:val="22"/>
        </w:rPr>
      </w:pPr>
    </w:p>
    <w:p w14:paraId="76038A4A" w14:textId="77777777" w:rsidR="00425911" w:rsidRDefault="00425911" w:rsidP="00425911">
      <w:pPr>
        <w:rPr>
          <w:rFonts w:asciiTheme="minorHAnsi" w:hAnsiTheme="minorHAnsi" w:cstheme="minorHAnsi"/>
          <w:i/>
          <w:szCs w:val="22"/>
        </w:rPr>
      </w:pPr>
    </w:p>
    <w:p w14:paraId="00DD2C34" w14:textId="77777777" w:rsidR="00425911" w:rsidRDefault="00425911" w:rsidP="00425911">
      <w:pPr>
        <w:rPr>
          <w:rFonts w:asciiTheme="minorHAnsi" w:hAnsiTheme="minorHAnsi" w:cstheme="minorHAnsi"/>
          <w:i/>
          <w:szCs w:val="22"/>
        </w:rPr>
      </w:pPr>
    </w:p>
    <w:p w14:paraId="3FF568FC" w14:textId="77777777" w:rsidR="00425911" w:rsidRDefault="00425911" w:rsidP="00425911">
      <w:pPr>
        <w:rPr>
          <w:rFonts w:asciiTheme="minorHAnsi" w:hAnsiTheme="minorHAnsi" w:cstheme="minorHAnsi"/>
          <w:i/>
          <w:szCs w:val="22"/>
        </w:rPr>
      </w:pPr>
    </w:p>
    <w:p w14:paraId="44C957D3" w14:textId="77777777" w:rsidR="00425911" w:rsidRDefault="00425911" w:rsidP="00425911">
      <w:pPr>
        <w:rPr>
          <w:rFonts w:asciiTheme="minorHAnsi" w:hAnsiTheme="minorHAnsi" w:cstheme="minorHAnsi"/>
          <w:i/>
          <w:szCs w:val="22"/>
        </w:rPr>
      </w:pPr>
    </w:p>
    <w:p w14:paraId="7B3B1B81" w14:textId="77777777" w:rsidR="00425911" w:rsidRDefault="00425911" w:rsidP="00425911">
      <w:pPr>
        <w:rPr>
          <w:rFonts w:asciiTheme="minorHAnsi" w:hAnsiTheme="minorHAnsi" w:cstheme="minorHAnsi"/>
          <w:i/>
          <w:szCs w:val="22"/>
        </w:rPr>
      </w:pPr>
    </w:p>
    <w:p w14:paraId="259B2C9C" w14:textId="77777777" w:rsidR="00425911" w:rsidRDefault="00425911" w:rsidP="00425911">
      <w:pPr>
        <w:rPr>
          <w:rFonts w:asciiTheme="minorHAnsi" w:hAnsiTheme="minorHAnsi" w:cstheme="minorHAnsi"/>
          <w:i/>
          <w:szCs w:val="22"/>
        </w:rPr>
      </w:pPr>
    </w:p>
    <w:p w14:paraId="4D0B232E" w14:textId="77777777" w:rsidR="00425911" w:rsidRDefault="00425911" w:rsidP="00425911">
      <w:pPr>
        <w:rPr>
          <w:rFonts w:asciiTheme="minorHAnsi" w:hAnsiTheme="minorHAnsi" w:cstheme="minorHAnsi"/>
          <w:i/>
          <w:szCs w:val="22"/>
        </w:rPr>
      </w:pPr>
    </w:p>
    <w:p w14:paraId="3F5172A1" w14:textId="77777777" w:rsidR="00425911" w:rsidRPr="003245FA" w:rsidRDefault="00425911" w:rsidP="00425911">
      <w:pPr>
        <w:rPr>
          <w:rFonts w:asciiTheme="minorHAnsi" w:hAnsiTheme="minorHAnsi" w:cstheme="minorHAnsi"/>
          <w:i/>
          <w:szCs w:val="22"/>
        </w:rPr>
        <w:sectPr w:rsidR="00425911" w:rsidRPr="003245FA" w:rsidSect="00B92E3E">
          <w:pgSz w:w="11906" w:h="16838"/>
          <w:pgMar w:top="1134" w:right="1559" w:bottom="1559" w:left="1276" w:header="709" w:footer="709" w:gutter="0"/>
          <w:cols w:space="708"/>
          <w:docGrid w:linePitch="360"/>
        </w:sectPr>
      </w:pPr>
    </w:p>
    <w:p w14:paraId="32A758F0" w14:textId="073FDF98" w:rsidR="008E4C49" w:rsidRPr="003245FA" w:rsidRDefault="00FD6C14" w:rsidP="008E4C49">
      <w:pPr>
        <w:tabs>
          <w:tab w:val="left" w:pos="-4395"/>
        </w:tabs>
        <w:ind w:left="426" w:hanging="426"/>
        <w:jc w:val="right"/>
        <w:rPr>
          <w:rFonts w:asciiTheme="minorHAnsi" w:hAnsiTheme="minorHAnsi" w:cstheme="minorHAnsi"/>
          <w:i/>
        </w:rPr>
      </w:pPr>
      <w:r>
        <w:rPr>
          <w:noProof/>
        </w:rPr>
        <w:lastRenderedPageBreak/>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087671">
        <w:rPr>
          <w:rFonts w:asciiTheme="minorHAnsi" w:hAnsiTheme="minorHAnsi" w:cstheme="minorHAnsi"/>
          <w:i/>
        </w:rPr>
        <w:t>6</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55BE46B7"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E36358">
        <w:rPr>
          <w:rFonts w:asciiTheme="minorHAnsi" w:hAnsiTheme="minorHAnsi" w:cstheme="minorHAnsi"/>
          <w:i/>
        </w:rPr>
        <w:t>O</w:t>
      </w:r>
      <w:r w:rsidR="00917230" w:rsidRPr="003245FA">
        <w:rPr>
          <w:rFonts w:asciiTheme="minorHAnsi" w:hAnsiTheme="minorHAnsi" w:cstheme="minorHAnsi"/>
          <w:i/>
        </w:rPr>
        <w:t xml:space="preserve">pravy </w:t>
      </w:r>
      <w:r w:rsidR="00FC1CAB" w:rsidRPr="003245FA">
        <w:rPr>
          <w:rFonts w:asciiTheme="minorHAnsi" w:hAnsiTheme="minorHAnsi" w:cstheme="minorHAnsi"/>
          <w:i/>
        </w:rPr>
        <w:t xml:space="preserve">čerpadiel a miešadiel značky </w:t>
      </w:r>
      <w:r w:rsidR="00EE17E6">
        <w:rPr>
          <w:rFonts w:asciiTheme="minorHAnsi" w:hAnsiTheme="minorHAnsi" w:cstheme="minorHAnsi"/>
          <w:i/>
        </w:rPr>
        <w:t>KSB</w:t>
      </w:r>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62276BCC"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087671">
        <w:rPr>
          <w:rFonts w:asciiTheme="minorHAnsi" w:hAnsiTheme="minorHAnsi" w:cstheme="minorHAnsi"/>
          <w:i/>
        </w:rPr>
        <w:t>7</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4B675372" w14:textId="30022AA7" w:rsidR="00902493" w:rsidRPr="003245FA" w:rsidRDefault="00880282" w:rsidP="00902493">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r w:rsidR="00902493" w:rsidRPr="003245FA">
        <w:rPr>
          <w:rFonts w:asciiTheme="minorHAnsi" w:hAnsiTheme="minorHAnsi" w:cstheme="minorHAnsi"/>
          <w:i/>
          <w:iCs/>
          <w:sz w:val="18"/>
        </w:rPr>
        <w:t xml:space="preserve"> </w:t>
      </w:r>
    </w:p>
    <w:p w14:paraId="0DC58C40" w14:textId="0363738E"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087671">
        <w:rPr>
          <w:rFonts w:asciiTheme="minorHAnsi" w:hAnsiTheme="minorHAnsi" w:cstheme="minorHAnsi"/>
          <w:i/>
        </w:rPr>
        <w:t>8</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08C64341"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087671">
        <w:rPr>
          <w:rFonts w:asciiTheme="minorHAnsi" w:hAnsiTheme="minorHAnsi" w:cstheme="minorHAnsi"/>
          <w:i/>
          <w:szCs w:val="18"/>
        </w:rPr>
        <w:t>9</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54B2546A" w14:textId="77777777" w:rsidR="00B90C99" w:rsidRDefault="00B90C99" w:rsidP="00A26D1C">
      <w:pPr>
        <w:pStyle w:val="text"/>
        <w:ind w:left="4932" w:hanging="4932"/>
        <w:rPr>
          <w:rFonts w:asciiTheme="minorHAnsi" w:hAnsiTheme="minorHAnsi" w:cstheme="minorHAnsi"/>
          <w:i/>
          <w:sz w:val="18"/>
          <w:szCs w:val="16"/>
          <w:lang w:val="sk-SK"/>
        </w:rPr>
      </w:pPr>
    </w:p>
    <w:p w14:paraId="206999B2" w14:textId="6066C5B2"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lastRenderedPageBreak/>
        <w:t>Príloha č. 10</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51E7" w14:textId="77777777" w:rsidR="00F67E4E" w:rsidRDefault="00F67E4E">
      <w:r>
        <w:separator/>
      </w:r>
    </w:p>
  </w:endnote>
  <w:endnote w:type="continuationSeparator" w:id="0">
    <w:p w14:paraId="0206C36C" w14:textId="77777777" w:rsidR="00F67E4E" w:rsidRDefault="00F6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20B062B8" w:rsidR="00B02161" w:rsidRDefault="00B02161">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030C08">
              <w:rPr>
                <w:rFonts w:asciiTheme="minorHAnsi" w:hAnsiTheme="minorHAnsi" w:cstheme="minorHAnsi"/>
                <w:bCs/>
                <w:noProof/>
                <w:sz w:val="16"/>
                <w:szCs w:val="16"/>
              </w:rPr>
              <w:t>28</w:t>
            </w:r>
            <w:r w:rsidRPr="008D46D9">
              <w:rPr>
                <w:rFonts w:asciiTheme="minorHAnsi" w:hAnsiTheme="minorHAnsi" w:cstheme="minorHAnsi"/>
                <w:bCs/>
                <w:sz w:val="16"/>
                <w:szCs w:val="16"/>
              </w:rPr>
              <w:fldChar w:fldCharType="end"/>
            </w:r>
          </w:p>
        </w:sdtContent>
      </w:sdt>
    </w:sdtContent>
  </w:sdt>
  <w:p w14:paraId="757FE993" w14:textId="77777777" w:rsidR="00B02161" w:rsidRPr="008D46D9" w:rsidRDefault="00B02161"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933" w14:textId="0BEB6614" w:rsidR="00B02161" w:rsidRPr="0034432D" w:rsidRDefault="00B02161"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030C08">
      <w:rPr>
        <w:rFonts w:ascii="Calibri" w:hAnsi="Calibri"/>
        <w:b/>
        <w:noProof/>
        <w:sz w:val="16"/>
        <w:szCs w:val="16"/>
      </w:rPr>
      <w:t>23</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030C08">
      <w:rPr>
        <w:rFonts w:ascii="Calibri" w:hAnsi="Calibri"/>
        <w:b/>
        <w:noProof/>
        <w:sz w:val="16"/>
        <w:szCs w:val="16"/>
      </w:rPr>
      <w:t>28</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1B6C" w14:textId="2D085D76" w:rsidR="00B02161" w:rsidRPr="00627FA5" w:rsidRDefault="00B02161"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26</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030C08">
      <w:rPr>
        <w:rFonts w:asciiTheme="minorHAnsi" w:hAnsiTheme="minorHAnsi" w:cstheme="minorHAnsi"/>
        <w:noProof/>
        <w:sz w:val="18"/>
      </w:rPr>
      <w:t>28</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04B4B28D" w:rsidR="00B02161" w:rsidRPr="000708FC" w:rsidRDefault="00B02161"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030C08">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sidR="00B03431">
          <w:rPr>
            <w:rFonts w:asciiTheme="minorHAnsi" w:hAnsiTheme="minorHAnsi" w:cstheme="minorHAnsi"/>
            <w:sz w:val="18"/>
            <w:szCs w:val="16"/>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FE7F" w14:textId="77777777" w:rsidR="00F67E4E" w:rsidRDefault="00F67E4E">
      <w:r>
        <w:separator/>
      </w:r>
    </w:p>
  </w:footnote>
  <w:footnote w:type="continuationSeparator" w:id="0">
    <w:p w14:paraId="5A9CA018" w14:textId="77777777" w:rsidR="00F67E4E" w:rsidRDefault="00F6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B02161" w:rsidRPr="00144232" w14:paraId="251A12A5" w14:textId="77777777" w:rsidTr="00747F03">
      <w:trPr>
        <w:trHeight w:val="300"/>
      </w:trPr>
      <w:tc>
        <w:tcPr>
          <w:tcW w:w="5310" w:type="dxa"/>
          <w:tcBorders>
            <w:top w:val="nil"/>
            <w:left w:val="nil"/>
            <w:bottom w:val="nil"/>
            <w:right w:val="nil"/>
          </w:tcBorders>
          <w:hideMark/>
        </w:tcPr>
        <w:p w14:paraId="359D2F3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414F68FF" w:rsidR="00B02161" w:rsidRPr="00822D83" w:rsidRDefault="00B02161" w:rsidP="007035C1">
          <w:pPr>
            <w:pStyle w:val="Hlavika"/>
            <w:rPr>
              <w:rFonts w:asciiTheme="minorHAnsi" w:hAnsiTheme="minorHAnsi" w:cstheme="minorHAnsi"/>
            </w:rPr>
          </w:pPr>
          <w:r w:rsidRPr="00A24DDF">
            <w:rPr>
              <w:rFonts w:asciiTheme="minorHAnsi" w:hAnsiTheme="minorHAnsi" w:cstheme="minorHAnsi"/>
            </w:rPr>
            <w:t xml:space="preserve">Zákazka č. </w:t>
          </w:r>
          <w:r w:rsidR="00A24DDF" w:rsidRPr="00A24DDF">
            <w:rPr>
              <w:rFonts w:asciiTheme="minorHAnsi" w:hAnsiTheme="minorHAnsi" w:cstheme="minorHAnsi"/>
            </w:rPr>
            <w:t>4</w:t>
          </w:r>
          <w:r w:rsidRPr="00A24DDF">
            <w:rPr>
              <w:rFonts w:asciiTheme="minorHAnsi" w:hAnsiTheme="minorHAnsi" w:cstheme="minorHAnsi"/>
            </w:rPr>
            <w:t xml:space="preserve"> - </w:t>
          </w:r>
          <w:r w:rsidR="00517721">
            <w:rPr>
              <w:rFonts w:asciiTheme="minorHAnsi" w:hAnsiTheme="minorHAnsi" w:cstheme="minorHAnsi"/>
            </w:rPr>
            <w:t>Opravy</w:t>
          </w:r>
          <w:r w:rsidRPr="00822D83">
            <w:rPr>
              <w:rFonts w:asciiTheme="minorHAnsi" w:hAnsiTheme="minorHAnsi" w:cstheme="minorHAnsi"/>
            </w:rPr>
            <w:t xml:space="preserve"> čerpadiel a miešadiel značky </w:t>
          </w:r>
          <w:r w:rsidR="00A24DDF">
            <w:rPr>
              <w:rFonts w:asciiTheme="minorHAnsi" w:hAnsiTheme="minorHAnsi" w:cstheme="minorHAnsi"/>
            </w:rPr>
            <w:t>KSB</w:t>
          </w:r>
        </w:p>
        <w:p w14:paraId="592615AA" w14:textId="77777777" w:rsidR="00B02161" w:rsidRPr="00822D83" w:rsidRDefault="00B02161"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B02161" w:rsidRDefault="00B02161"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137644928">
    <w:abstractNumId w:val="22"/>
  </w:num>
  <w:num w:numId="2" w16cid:durableId="1146242067">
    <w:abstractNumId w:val="21"/>
  </w:num>
  <w:num w:numId="3" w16cid:durableId="144392460">
    <w:abstractNumId w:val="14"/>
  </w:num>
  <w:num w:numId="4" w16cid:durableId="1807160041">
    <w:abstractNumId w:val="11"/>
  </w:num>
  <w:num w:numId="5" w16cid:durableId="1298603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81140">
    <w:abstractNumId w:val="0"/>
  </w:num>
  <w:num w:numId="7" w16cid:durableId="261032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6563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99508">
    <w:abstractNumId w:val="3"/>
  </w:num>
  <w:num w:numId="10" w16cid:durableId="1045831368">
    <w:abstractNumId w:val="13"/>
  </w:num>
  <w:num w:numId="11" w16cid:durableId="1091855140">
    <w:abstractNumId w:val="17"/>
  </w:num>
  <w:num w:numId="12" w16cid:durableId="921449182">
    <w:abstractNumId w:val="20"/>
  </w:num>
  <w:num w:numId="13" w16cid:durableId="2090733415">
    <w:abstractNumId w:val="1"/>
  </w:num>
  <w:num w:numId="14" w16cid:durableId="1511526934">
    <w:abstractNumId w:val="24"/>
  </w:num>
  <w:num w:numId="15" w16cid:durableId="1925603176">
    <w:abstractNumId w:val="19"/>
  </w:num>
  <w:num w:numId="16" w16cid:durableId="1358120289">
    <w:abstractNumId w:val="8"/>
  </w:num>
  <w:num w:numId="17" w16cid:durableId="386270963">
    <w:abstractNumId w:val="10"/>
  </w:num>
  <w:num w:numId="18" w16cid:durableId="1351448453">
    <w:abstractNumId w:val="25"/>
  </w:num>
  <w:num w:numId="19" w16cid:durableId="1815830239">
    <w:abstractNumId w:val="7"/>
  </w:num>
  <w:num w:numId="20" w16cid:durableId="640771180">
    <w:abstractNumId w:val="23"/>
  </w:num>
  <w:num w:numId="21" w16cid:durableId="896822747">
    <w:abstractNumId w:val="5"/>
  </w:num>
  <w:num w:numId="22" w16cid:durableId="12123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16575">
    <w:abstractNumId w:val="4"/>
  </w:num>
  <w:num w:numId="24" w16cid:durableId="2105611125">
    <w:abstractNumId w:val="6"/>
  </w:num>
  <w:num w:numId="25" w16cid:durableId="1138112037">
    <w:abstractNumId w:val="16"/>
  </w:num>
  <w:num w:numId="26" w16cid:durableId="423495690">
    <w:abstractNumId w:val="12"/>
  </w:num>
  <w:num w:numId="27" w16cid:durableId="1656832588">
    <w:abstractNumId w:val="9"/>
  </w:num>
  <w:num w:numId="28" w16cid:durableId="29690991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51E3"/>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369F"/>
    <w:rsid w:val="001179D3"/>
    <w:rsid w:val="0012198F"/>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2F3E"/>
    <w:rsid w:val="00364B87"/>
    <w:rsid w:val="0036505F"/>
    <w:rsid w:val="00365202"/>
    <w:rsid w:val="0036587C"/>
    <w:rsid w:val="00365A1B"/>
    <w:rsid w:val="003704FC"/>
    <w:rsid w:val="00370549"/>
    <w:rsid w:val="00372DD8"/>
    <w:rsid w:val="00373267"/>
    <w:rsid w:val="00377588"/>
    <w:rsid w:val="00377F5E"/>
    <w:rsid w:val="0038045D"/>
    <w:rsid w:val="00381B19"/>
    <w:rsid w:val="00382ADD"/>
    <w:rsid w:val="00383457"/>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7B58"/>
    <w:rsid w:val="003C010B"/>
    <w:rsid w:val="003C0D7B"/>
    <w:rsid w:val="003C1248"/>
    <w:rsid w:val="003C18DE"/>
    <w:rsid w:val="003C246D"/>
    <w:rsid w:val="003C444C"/>
    <w:rsid w:val="003C5EEA"/>
    <w:rsid w:val="003C7F68"/>
    <w:rsid w:val="003D2D2E"/>
    <w:rsid w:val="003D4696"/>
    <w:rsid w:val="003D7A12"/>
    <w:rsid w:val="003E05B5"/>
    <w:rsid w:val="003E1BCF"/>
    <w:rsid w:val="003E3990"/>
    <w:rsid w:val="003F0D42"/>
    <w:rsid w:val="003F21C1"/>
    <w:rsid w:val="003F4017"/>
    <w:rsid w:val="003F4A7B"/>
    <w:rsid w:val="003F4D4E"/>
    <w:rsid w:val="003F7387"/>
    <w:rsid w:val="003F73AE"/>
    <w:rsid w:val="004002AF"/>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21"/>
    <w:rsid w:val="005177E6"/>
    <w:rsid w:val="00521C70"/>
    <w:rsid w:val="00523AE1"/>
    <w:rsid w:val="00524B48"/>
    <w:rsid w:val="0052592C"/>
    <w:rsid w:val="00525B37"/>
    <w:rsid w:val="00527470"/>
    <w:rsid w:val="00530864"/>
    <w:rsid w:val="005403F0"/>
    <w:rsid w:val="00547A89"/>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701AAE"/>
    <w:rsid w:val="007035C1"/>
    <w:rsid w:val="0070410F"/>
    <w:rsid w:val="007042C6"/>
    <w:rsid w:val="00705441"/>
    <w:rsid w:val="00710790"/>
    <w:rsid w:val="00712594"/>
    <w:rsid w:val="00715B63"/>
    <w:rsid w:val="00716090"/>
    <w:rsid w:val="00716692"/>
    <w:rsid w:val="00716CD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A3A"/>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4DDF"/>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D1FB2"/>
    <w:rsid w:val="00AD34E0"/>
    <w:rsid w:val="00AD3694"/>
    <w:rsid w:val="00AD3792"/>
    <w:rsid w:val="00AD5B73"/>
    <w:rsid w:val="00AD6970"/>
    <w:rsid w:val="00AD7270"/>
    <w:rsid w:val="00AD770B"/>
    <w:rsid w:val="00AE14E5"/>
    <w:rsid w:val="00AE1937"/>
    <w:rsid w:val="00AE3D47"/>
    <w:rsid w:val="00AE3F0A"/>
    <w:rsid w:val="00AF034C"/>
    <w:rsid w:val="00AF3013"/>
    <w:rsid w:val="00B00094"/>
    <w:rsid w:val="00B02161"/>
    <w:rsid w:val="00B0218D"/>
    <w:rsid w:val="00B03431"/>
    <w:rsid w:val="00B04E31"/>
    <w:rsid w:val="00B05757"/>
    <w:rsid w:val="00B118FC"/>
    <w:rsid w:val="00B12735"/>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725E7"/>
    <w:rsid w:val="00B727D7"/>
    <w:rsid w:val="00B72870"/>
    <w:rsid w:val="00B75A32"/>
    <w:rsid w:val="00B8024A"/>
    <w:rsid w:val="00B80C50"/>
    <w:rsid w:val="00B8311F"/>
    <w:rsid w:val="00B90C99"/>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C638E"/>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5B1D"/>
    <w:rsid w:val="00D90287"/>
    <w:rsid w:val="00D929AF"/>
    <w:rsid w:val="00D92C3F"/>
    <w:rsid w:val="00D947B1"/>
    <w:rsid w:val="00D94948"/>
    <w:rsid w:val="00D963E0"/>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4966"/>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40F4"/>
    <w:rsid w:val="00E35DA1"/>
    <w:rsid w:val="00E35E00"/>
    <w:rsid w:val="00E36358"/>
    <w:rsid w:val="00E36429"/>
    <w:rsid w:val="00E36DF1"/>
    <w:rsid w:val="00E37AAB"/>
    <w:rsid w:val="00E40AA2"/>
    <w:rsid w:val="00E41AC5"/>
    <w:rsid w:val="00E42245"/>
    <w:rsid w:val="00E42272"/>
    <w:rsid w:val="00E434E0"/>
    <w:rsid w:val="00E47AC8"/>
    <w:rsid w:val="00E52690"/>
    <w:rsid w:val="00E54317"/>
    <w:rsid w:val="00E54557"/>
    <w:rsid w:val="00E616A6"/>
    <w:rsid w:val="00E633EE"/>
    <w:rsid w:val="00E70C51"/>
    <w:rsid w:val="00E71D65"/>
    <w:rsid w:val="00E73FEC"/>
    <w:rsid w:val="00E756D6"/>
    <w:rsid w:val="00E7595D"/>
    <w:rsid w:val="00E77C95"/>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7E6"/>
    <w:rsid w:val="00EE1D9B"/>
    <w:rsid w:val="00EE1F40"/>
    <w:rsid w:val="00EE2832"/>
    <w:rsid w:val="00EE427B"/>
    <w:rsid w:val="00EE4B56"/>
    <w:rsid w:val="00EE6164"/>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67E4E"/>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5E2A7-BEC9-4078-A6C9-EE776066C871}">
  <ds:schemaRefs>
    <ds:schemaRef ds:uri="http://schemas.microsoft.com/sharepoint/v3/contenttype/forms"/>
  </ds:schemaRefs>
</ds:datastoreItem>
</file>

<file path=customXml/itemProps4.xml><?xml version="1.0" encoding="utf-8"?>
<ds:datastoreItem xmlns:ds="http://schemas.openxmlformats.org/officeDocument/2006/customXml" ds:itemID="{85206004-A217-4D57-B74A-8AD6CFE2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9239</Words>
  <Characters>52664</Characters>
  <Application>Microsoft Office Word</Application>
  <DocSecurity>0</DocSecurity>
  <Lines>438</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61780</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12</cp:revision>
  <cp:lastPrinted>2026-02-03T07:54:00Z</cp:lastPrinted>
  <dcterms:created xsi:type="dcterms:W3CDTF">2026-02-11T10:32:00Z</dcterms:created>
  <dcterms:modified xsi:type="dcterms:W3CDTF">2026-04-07T10:59:00Z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