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enter" w:leader="none" w:pos="7938"/>
        </w:tabs>
        <w:spacing w:after="0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  <w:t xml:space="preserve">CENOVÁ PONUKA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</w:p>
    <w:p>
      <w:pPr>
        <w:pBdr/>
        <w:tabs>
          <w:tab w:val="left" w:leader="none" w:pos="7938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2127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Predmet zákazky: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„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  <w:t xml:space="preserve">Obstaranie technológií do výroby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sk-SK"/>
        </w:rPr>
        <w:t xml:space="preserve"> a odbytu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  <w:t xml:space="preserve">v pekárni Maan Plus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“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4962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uchádzača: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meno predkladajúceho - funkcia, telefónne číslo, 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zadávateľa: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MAAN plus s. r. o.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Hlavná 9, 952 01 Vráble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47365081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Norbert Austen -  konateľ, l.austenova@gmail.com, +421 907722473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 w14:paraId="43480FC1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</w:tcPr>
          <w:p w14:paraId="53BD33D3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Technológie do výroby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3C562A59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517139A2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Hnetač špirálový s výjazdnou diežou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0BCDC26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A14B37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3009B05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A99A427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7CC19F6A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2999C6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192989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060EB5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71E6D51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4C27F2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Špirálový hnetač s výjazdnou diežou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F4D71F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B1A9F2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39DA1C8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20D63E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Objem dieže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A15434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360 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386CD5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6658CA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77A702F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Počet dieží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54C13BB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min. 5 ks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39D0043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CD86EC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50008E2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Kapacita múky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4337F0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150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77849A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AA46CD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5BB1847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Spracovateľná kapacita cesta v rozsahu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FA43D1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15 - 280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0A6B3F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5DBC11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D094E3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Uzamknutie dieže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hydraulickým hákom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DEBEC6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2DB815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75E8121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0C4571F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Príkon motora hnetenia (špirála) rýchlosť 1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1D4FE2A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8 kW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78E7D1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0366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6AD1988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Príkon motora hnetenia (špirála) rýchlosť 2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62FBE5A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14 kW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5830BF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EE9B4E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1C9370A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Príkon motora pohonu dieže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567E62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0,75 kW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2DBDE6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FB7FC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1F416A0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Príkon motora hydrauliky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835109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0,75 kW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5CBA26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6498EC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303C666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Hmotnosť stroja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74BFFC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1 250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4014E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D15623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113BC4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Ovládací panel s 2 samostatnými elektromechanickými časovačmi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39B5DA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4E281F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40FE16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6253DE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Možnosť prepnutia na ručné ovládanie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591B35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EAFEF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C0B7A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390CE3F2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Bezpečnostný nerezový, uzavretý kryt s priezorom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5F036A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287AA7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297EB1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7F8BF9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Osvetlenie LED svetlo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8B1D2C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1 ks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1D7461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252038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78F9A01E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6E632ED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3999"/>
        <w:gridCol w:w="1998"/>
        <w:gridCol w:w="2243"/>
        <w:gridCol w:w="1721"/>
      </w:tblGrid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Delička cesta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3999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998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243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721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734DFE1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Plne automatická konti</w:t>
            </w:r>
            <w:r>
              <w:rPr>
                <w:rFonts w:ascii="Times New Roman" w:hAnsi="Times New Roman" w:cs="Times New Roman"/>
              </w:rPr>
              <w:t xml:space="preserve">nuálna </w:t>
            </w:r>
            <w:r>
              <w:rPr>
                <w:rFonts w:ascii="Times New Roman" w:hAnsi="Times New Roman" w:cs="Times New Roman"/>
              </w:rPr>
              <w:t xml:space="preserve">delička</w:t>
            </w:r>
            <w:r>
              <w:rPr>
                <w:rFonts w:ascii="Times New Roman" w:hAnsi="Times New Roman" w:cs="Times New Roman"/>
              </w:rPr>
              <w:t xml:space="preserve"> so </w:t>
            </w:r>
            <w:r>
              <w:rPr>
                <w:rFonts w:ascii="Times New Roman" w:hAnsi="Times New Roman" w:cs="Times New Roman"/>
              </w:rPr>
              <w:t xml:space="preserve">zakružovaním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7B29DF9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Align w:val="center"/>
            <w:vMerge w:val="restart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540C408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Rozsah delenia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6A1D779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40</w:t>
            </w:r>
            <w:r>
              <w:rPr>
                <w:rFonts w:ascii="Times New Roman" w:hAnsi="Times New Roman" w:cs="Times New Roman"/>
              </w:rPr>
              <w:t xml:space="preserve"> - 140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gr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78F204F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Prevedenie dvojradové</w:t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444C4A7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5DB05D2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Zásobník cesta o objeme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00C49EA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10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7279F11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Výkon (ks/ hod.)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4B2ED9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2 400 ks/hod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2D8F831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Automatické </w:t>
            </w:r>
            <w:r>
              <w:rPr>
                <w:rFonts w:ascii="Times New Roman" w:hAnsi="Times New Roman" w:cs="Times New Roman"/>
              </w:rPr>
              <w:t xml:space="preserve">pomúčovanie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450D0EA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40BAC1B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Typ produktov (okrúhle, nezaokrúhlené</w:t>
            </w:r>
            <w:r>
              <w:rPr>
                <w:rFonts w:ascii="Times New Roman" w:hAnsi="Times New Roman" w:cs="Times New Roman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37A0411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75F8D1C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Digitálny ovládací panel – počet programov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67D1D88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min. 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3FA9511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Vynášací</w:t>
            </w:r>
            <w:r>
              <w:rPr>
                <w:rFonts w:ascii="Times New Roman" w:hAnsi="Times New Roman" w:cs="Times New Roman"/>
                <w:highlight w:val="none"/>
              </w:rPr>
              <w:t xml:space="preserve"> dopravník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8367D2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59F2B68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Nerezové prevedenie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C47E6B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0D78A23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Č</w:t>
            </w:r>
            <w:r>
              <w:rPr>
                <w:rFonts w:ascii="Times New Roman" w:hAnsi="Times New Roman" w:cs="Times New Roman"/>
                <w:highlight w:val="none"/>
              </w:rPr>
              <w:t xml:space="preserve">id</w:t>
            </w:r>
            <w:r>
              <w:rPr>
                <w:rFonts w:ascii="Times New Roman" w:hAnsi="Times New Roman" w:cs="Times New Roman"/>
                <w:highlight w:val="none"/>
              </w:rPr>
              <w:t xml:space="preserve">la</w:t>
            </w:r>
            <w:r>
              <w:rPr>
                <w:rFonts w:ascii="Times New Roman" w:hAnsi="Times New Roman" w:cs="Times New Roman"/>
                <w:highlight w:val="none"/>
              </w:rPr>
              <w:t xml:space="preserve"> na sledovanie množstva cesta </w:t>
            </w:r>
            <w:r>
              <w:rPr>
                <w:rFonts w:ascii="Times New Roman" w:hAnsi="Times New Roman" w:cs="Times New Roman"/>
                <w:highlight w:val="none"/>
              </w:rPr>
              <w:t xml:space="preserve">v zásobníku 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636D61C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08BF653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Zakružovanie</w:t>
            </w:r>
            <w:r>
              <w:rPr>
                <w:rFonts w:ascii="Times New Roman" w:hAnsi="Times New Roman" w:cs="Times New Roman"/>
                <w:highlight w:val="none"/>
              </w:rPr>
              <w:t xml:space="preserve"> cesta sa </w:t>
            </w:r>
            <w:r>
              <w:rPr>
                <w:rFonts w:ascii="Times New Roman" w:hAnsi="Times New Roman" w:cs="Times New Roman"/>
                <w:highlight w:val="none"/>
              </w:rPr>
              <w:t xml:space="preserve">pomocou </w:t>
            </w:r>
            <w:r>
              <w:rPr>
                <w:rFonts w:ascii="Times New Roman" w:hAnsi="Times New Roman" w:cs="Times New Roman"/>
                <w:highlight w:val="none"/>
              </w:rPr>
              <w:t xml:space="preserve">príklopnej zakružovacej</w:t>
            </w:r>
            <w:r>
              <w:rPr>
                <w:rFonts w:ascii="Times New Roman" w:hAnsi="Times New Roman" w:cs="Times New Roman"/>
                <w:highlight w:val="none"/>
              </w:rPr>
              <w:t xml:space="preserve"> dosky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40C5299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1" w:type="dxa"/>
            <w:vAlign w:val="center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1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2ABB0FA2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7F39B4F5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19A027A2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Kysiareň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2D44163C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21969C4C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27D5B256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0287D2C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EBB1552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797DCF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59ABF4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627F4028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5764C4A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095FEC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Kysiareň pre vozíky do rotačných pecí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11BA13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EA025B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1FBBC1B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C124E1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Pre kysnutie pekárenských výrobkov na vozíkoch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C203DA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8ABE92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D91485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080E87C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Kapacita </w:t>
            </w:r>
            <w:r>
              <w:rPr>
                <w:rFonts w:ascii="Times New Roman" w:hAnsi="Times New Roman" w:cs="Times New Roman"/>
              </w:rPr>
              <w:t xml:space="preserve">vozíkov pri rozmere vozíka 630 x 830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ABCAE6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9B9BDB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B3BDF4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7A806D5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Vonkajšie rozmery (š x h x v)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3E8697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max. 2100 x 2200 x 2500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BDC429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336B08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D5AD12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Konštrukcia s izolovanými panelmi s hrúbkou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E953FA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40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4D5494DB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64C32A05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09533C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Nerezové dvere so samopriťahovacím systémom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B441DE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4E6D269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9B2AE1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9C745E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Celonerezové prevedenie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39D183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333B96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2DAE0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DA65DA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Príkon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v hodnote z rozmedzia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3FF11B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5,5</w:t>
            </w:r>
            <w:r>
              <w:rPr>
                <w:rFonts w:ascii="Times New Roman" w:hAnsi="Times New Roman" w:cs="Times New Roman"/>
              </w:rPr>
              <w:t xml:space="preserve"> – max. 7,5 kW</w:t>
            </w:r>
            <w:r/>
          </w:p>
          <w:p w14:paraId="65C597A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649AD2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47253D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B2E67C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Digitálny ovládací panel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78DD08A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499F0D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C4E555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900461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Vnútorné rozvody nerez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9C399D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5240F3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993238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3A526DD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7E59D37F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60940409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739E5466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</w:tcPr>
          <w:p w14:paraId="53BD33D3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Technológia odbytu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3C098EF1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11FAE137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3161D5F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Automat na predaj pečiva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160E6FF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1EF040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6F61B22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6777BBC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D273DD9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7FC728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31CC8F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675257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1A4E1004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6CF038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Vonkajší výťahový predajný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 automat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0DC122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238747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3488A08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7BE30E9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Vnútorné variabilné usporiadanie prispôsobiteľné sortimentu (chlieb, rožky, žemle, koláče, šišky, vianočky a pod.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D93147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994EDD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F13629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677F78A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Vyhrievanie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 (udržiavanie teploty pečiva)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E49628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3F6BB9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ED66F3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E3B0A7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Chladenie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7997E19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9EC5D0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09C3F58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017EFE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Platobné systémy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hotovostné aj bezkontaktné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A78340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39A9BD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AADE5A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248AE9D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Online vzdialená správa, monitoring prevádzky, stavu zásob a expirácií v reálnom čase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28B808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736DF2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7C7BF0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01EA259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Dotyková o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brazovka full HD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560BD9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20"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ECAB18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604B3F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B30120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Výdajný otvor (š x v)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2DABA0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400 x 160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AE49A1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64140C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9A0A0A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Strieška a reklamný polep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315675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03649B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D14844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15B9C0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Rozmery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(v x š x h)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9940F4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2000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x 1250 x 900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9F5DEE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24DD7C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22D4DE4E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12821987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1F683BBB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>
      <w:pPr>
        <w:pBdr/>
        <w:tabs>
          <w:tab w:val="left" w:leader="none" w:pos="4962"/>
        </w:tabs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Poznámky</w:t>
      </w: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………………….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prípade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uchádzač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nie</w:t>
      </w:r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r>
        <w:rPr>
          <w:rFonts w:ascii="Times New Roman" w:hAnsi="Times New Roman" w:cs="Times New Roman"/>
          <w:bCs/>
          <w:sz w:val="24"/>
          <w:szCs w:val="24"/>
        </w:rPr>
        <w:t xml:space="preserve">platca</w:t>
      </w:r>
      <w:r>
        <w:rPr>
          <w:rFonts w:ascii="Times New Roman" w:hAnsi="Times New Roman" w:cs="Times New Roman"/>
          <w:bCs/>
          <w:sz w:val="24"/>
          <w:szCs w:val="24"/>
        </w:rPr>
        <w:t xml:space="preserve"> DPH </w:t>
      </w:r>
      <w:r>
        <w:rPr>
          <w:rFonts w:ascii="Times New Roman" w:hAnsi="Times New Roman" w:cs="Times New Roman"/>
          <w:bCs/>
          <w:sz w:val="24"/>
          <w:szCs w:val="24"/>
        </w:rPr>
        <w:t xml:space="preserve">uvedie</w:t>
      </w:r>
      <w:r>
        <w:rPr>
          <w:rFonts w:ascii="Times New Roman" w:hAnsi="Times New Roman" w:cs="Times New Roman"/>
          <w:bCs/>
          <w:sz w:val="24"/>
          <w:szCs w:val="24"/>
        </w:rPr>
        <w:t xml:space="preserve"> to v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ponuke</w:t>
      </w:r>
      <w:r>
        <w:rPr>
          <w:rFonts w:ascii="Times New Roman" w:hAnsi="Times New Roman" w:cs="Times New Roman"/>
          <w:bCs/>
          <w:sz w:val="24"/>
          <w:szCs w:val="24"/>
        </w:rPr>
        <w:t xml:space="preserve"> v časti poznámky.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Čestne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prehlasujeme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, že akceptujeme </w:t>
      </w:r>
      <w:r>
        <w:rPr>
          <w:rFonts w:ascii="Times New Roman" w:hAnsi="Times New Roman" w:cs="Times New Roman"/>
          <w:bCs/>
          <w:sz w:val="24"/>
          <w:szCs w:val="24"/>
        </w:rPr>
        <w:t xml:space="preserve">všetky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zadávateľa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Cs/>
          <w:sz w:val="24"/>
          <w:szCs w:val="24"/>
        </w:rPr>
        <w:t xml:space="preserve">tieto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sme</w:t>
      </w:r>
      <w:r>
        <w:rPr>
          <w:rFonts w:ascii="Times New Roman" w:hAnsi="Times New Roman" w:cs="Times New Roman"/>
          <w:bCs/>
          <w:sz w:val="24"/>
          <w:szCs w:val="24"/>
        </w:rPr>
        <w:t xml:space="preserve"> zahrnuli do </w:t>
      </w:r>
      <w:r>
        <w:rPr>
          <w:rFonts w:ascii="Times New Roman" w:hAnsi="Times New Roman" w:cs="Times New Roman"/>
          <w:bCs/>
          <w:sz w:val="24"/>
          <w:szCs w:val="24"/>
        </w:rPr>
        <w:t xml:space="preserve">predloženej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cenovej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ponuky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Potvrdzujeme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nami</w:t>
      </w:r>
      <w:r>
        <w:rPr>
          <w:rFonts w:ascii="Times New Roman" w:hAnsi="Times New Roman" w:cs="Times New Roman"/>
          <w:bCs/>
          <w:sz w:val="24"/>
          <w:szCs w:val="24"/>
        </w:rPr>
        <w:t xml:space="preserve"> vypracovaná cenová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zodpovedá</w:t>
      </w:r>
      <w:r>
        <w:rPr>
          <w:rFonts w:ascii="Times New Roman" w:hAnsi="Times New Roman" w:cs="Times New Roman"/>
          <w:bCs/>
          <w:sz w:val="24"/>
          <w:szCs w:val="24"/>
        </w:rPr>
        <w:t xml:space="preserve"> cenám obvyklým v </w:t>
      </w:r>
      <w:r>
        <w:rPr>
          <w:rFonts w:ascii="Times New Roman" w:hAnsi="Times New Roman" w:cs="Times New Roman"/>
          <w:bCs/>
          <w:sz w:val="24"/>
          <w:szCs w:val="24"/>
        </w:rPr>
        <w:t xml:space="preserve">danom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mieste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čase.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 w14:paraId="00F46F9E"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 ...................................., </w:t>
      </w:r>
      <w:r>
        <w:rPr>
          <w:rFonts w:ascii="Times New Roman" w:hAnsi="Times New Roman" w:cs="Times New Roman"/>
          <w:bCs/>
          <w:sz w:val="24"/>
          <w:szCs w:val="24"/>
        </w:rPr>
        <w:t xml:space="preserve">dňa</w:t>
      </w:r>
      <w:r>
        <w:rPr>
          <w:rFonts w:ascii="Times New Roman" w:hAnsi="Times New Roman" w:cs="Times New Roman"/>
          <w:bCs/>
          <w:sz w:val="24"/>
          <w:szCs w:val="24"/>
        </w:rPr>
        <w:t xml:space="preserve"> .....................</w:t>
        <w:tab/>
        <w:tab/>
        <w:tab/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6378"/>
        </w:tabs>
        <w:spacing w:after="0"/>
        <w:ind w:right="0" w:firstLine="0"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ab/>
        <w:t xml:space="preserve">Podpis a pečiatka uchádzača</w:t>
      </w:r>
      <w:r>
        <w:rPr>
          <w:rFonts w:ascii="Times New Roman" w:hAnsi="Times New Roman" w:cs="Times New Roman"/>
          <w:sz w:val="24"/>
          <w:szCs w:val="24"/>
          <w:lang w:val="sk-SK"/>
        </w:rPr>
      </w:r>
      <w:r>
        <w:rPr>
          <w:rFonts w:ascii="Times New Roman" w:hAnsi="Times New Roman" w:cs="Times New Roman"/>
          <w:sz w:val="24"/>
          <w:szCs w:val="24"/>
          <w:lang w:val="sk-SK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40" w:right="1080" w:bottom="1440" w:left="108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3967106"/>
      <w:docPartObj>
        <w:docPartGallery w:val="Page Numbers (Bottom of Page)"/>
        <w:docPartUnique w:val="true"/>
      </w:docPartObj>
      <w:rPr/>
    </w:sdtPr>
    <w:sdtContent>
      <w:p>
        <w:pPr>
          <w:pStyle w:val="969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sk-SK"/>
          </w:rPr>
          <w:t xml:space="preserve">1</w:t>
        </w:r>
        <w:r>
          <w:fldChar w:fldCharType="end"/>
        </w:r>
        <w:r/>
      </w:p>
    </w:sdtContent>
  </w:sdt>
  <w:p>
    <w:pPr>
      <w:pStyle w:val="9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right"/>
      <w:rPr>
        <w:rFonts w:ascii="Times New Roman" w:hAnsi="Times New Roman" w:cs="Times New Roman"/>
        <w:lang w:val="sk-SK"/>
      </w:rPr>
    </w:pPr>
    <w:r>
      <w:rPr>
        <w:rFonts w:ascii="Times New Roman" w:hAnsi="Times New Roman" w:cs="Times New Roman"/>
      </w:rPr>
      <w:t xml:space="preserve">Príloha</w:t>
    </w:r>
    <w:r>
      <w:rPr>
        <w:rFonts w:ascii="Times New Roman" w:hAnsi="Times New Roman" w:cs="Times New Roman"/>
      </w:rPr>
      <w:t xml:space="preserve"> č. </w:t>
    </w:r>
    <w:r>
      <w:rPr>
        <w:rFonts w:ascii="Times New Roman" w:hAnsi="Times New Roman" w:cs="Times New Roman"/>
        <w:lang w:val="sk-SK"/>
      </w:rPr>
      <w:t xml:space="preserve">1 </w:t>
    </w:r>
    <w:r>
      <w:rPr>
        <w:rFonts w:ascii="Times New Roman" w:hAnsi="Times New Roman" w:cs="Times New Roman"/>
      </w:rPr>
      <w:t xml:space="preserve"> Výzvy na </w:t>
    </w:r>
    <w:r>
      <w:rPr>
        <w:rFonts w:ascii="Times New Roman" w:hAnsi="Times New Roman" w:cs="Times New Roman"/>
      </w:rPr>
      <w:t xml:space="preserve">predloženie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ponúk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 w:val="sk-SK"/>
      </w:rPr>
    </w:r>
    <w:r>
      <w:rPr>
        <w:rFonts w:ascii="Times New Roman" w:hAnsi="Times New Roman" w:cs="Times New Roman"/>
        <w:lang w:val="sk-SK"/>
      </w:rPr>
    </w:r>
  </w:p>
  <w:p>
    <w:pPr>
      <w:pStyle w:val="9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1036F9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903430D"/>
    <w:lvl w:ilvl="0">
      <w:isLgl w:val="false"/>
      <w:lvlJc w:val="left"/>
      <w:lvlText w:val="‐"/>
      <w:numFmt w:val="bullet"/>
      <w:pPr>
        <w:pBdr/>
        <w:spacing/>
        <w:ind w:hanging="360" w:left="720"/>
      </w:pPr>
      <w:rPr>
        <w:rFonts w:hint="default" w:ascii="Trebuchet MS" w:hAnsi="Trebuchet M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24323C5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54D23B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0DC27DD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6">
    <w:nsid w:val="38C04E35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AE649D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3D4115E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nsid w:val="42200052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10">
    <w:nsid w:val="4CBE4B1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4CE771A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56CC103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6D5A729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7F84A3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0">
    <w:name w:val="Table Grid Light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ing 1"/>
    <w:basedOn w:val="962"/>
    <w:next w:val="962"/>
    <w:link w:val="9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6">
    <w:name w:val="Heading 2"/>
    <w:basedOn w:val="962"/>
    <w:next w:val="962"/>
    <w:link w:val="9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7">
    <w:name w:val="Heading 3"/>
    <w:basedOn w:val="962"/>
    <w:next w:val="962"/>
    <w:link w:val="9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8">
    <w:name w:val="Heading 4"/>
    <w:basedOn w:val="962"/>
    <w:next w:val="962"/>
    <w:link w:val="9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9">
    <w:name w:val="Heading 5"/>
    <w:basedOn w:val="962"/>
    <w:next w:val="962"/>
    <w:link w:val="9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0">
    <w:name w:val="Heading 6"/>
    <w:basedOn w:val="962"/>
    <w:next w:val="962"/>
    <w:link w:val="9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1">
    <w:name w:val="Heading 7"/>
    <w:basedOn w:val="962"/>
    <w:next w:val="962"/>
    <w:link w:val="9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2">
    <w:name w:val="Heading 8"/>
    <w:basedOn w:val="962"/>
    <w:next w:val="962"/>
    <w:link w:val="9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Heading 9"/>
    <w:basedOn w:val="962"/>
    <w:next w:val="962"/>
    <w:link w:val="9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1 Char"/>
    <w:basedOn w:val="963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5">
    <w:name w:val="Heading 2 Char"/>
    <w:basedOn w:val="963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6">
    <w:name w:val="Heading 3 Char"/>
    <w:basedOn w:val="963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7">
    <w:name w:val="Heading 4 Char"/>
    <w:basedOn w:val="963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8">
    <w:name w:val="Heading 5 Char"/>
    <w:basedOn w:val="963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9">
    <w:name w:val="Heading 6 Char"/>
    <w:basedOn w:val="963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0">
    <w:name w:val="Heading 7 Char"/>
    <w:basedOn w:val="963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1">
    <w:name w:val="Heading 8 Char"/>
    <w:basedOn w:val="963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2">
    <w:name w:val="Heading 9 Char"/>
    <w:basedOn w:val="963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Title"/>
    <w:basedOn w:val="962"/>
    <w:next w:val="962"/>
    <w:link w:val="9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4">
    <w:name w:val="Title Char"/>
    <w:basedOn w:val="963"/>
    <w:link w:val="9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5">
    <w:name w:val="Subtitle"/>
    <w:basedOn w:val="962"/>
    <w:next w:val="962"/>
    <w:link w:val="9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6">
    <w:name w:val="Subtitle Char"/>
    <w:basedOn w:val="963"/>
    <w:link w:val="9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7">
    <w:name w:val="Quote"/>
    <w:basedOn w:val="962"/>
    <w:next w:val="962"/>
    <w:link w:val="9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8">
    <w:name w:val="Quote Char"/>
    <w:basedOn w:val="963"/>
    <w:link w:val="92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9">
    <w:name w:val="Intense Emphasis"/>
    <w:basedOn w:val="9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0">
    <w:name w:val="Intense Quote"/>
    <w:basedOn w:val="962"/>
    <w:next w:val="962"/>
    <w:link w:val="9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1">
    <w:name w:val="Intense Quote Char"/>
    <w:basedOn w:val="963"/>
    <w:link w:val="9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2">
    <w:name w:val="Intense Reference"/>
    <w:basedOn w:val="9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3">
    <w:name w:val="No Spacing"/>
    <w:basedOn w:val="962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Emphasis"/>
    <w:basedOn w:val="963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63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8">
    <w:name w:val="Book Title"/>
    <w:basedOn w:val="9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9">
    <w:name w:val="Header Char"/>
    <w:basedOn w:val="963"/>
    <w:link w:val="967"/>
    <w:uiPriority w:val="99"/>
    <w:pPr>
      <w:pBdr/>
      <w:spacing/>
      <w:ind/>
    </w:pPr>
  </w:style>
  <w:style w:type="character" w:styleId="940">
    <w:name w:val="Footer Char"/>
    <w:basedOn w:val="963"/>
    <w:link w:val="969"/>
    <w:uiPriority w:val="99"/>
    <w:pPr>
      <w:pBdr/>
      <w:spacing/>
      <w:ind/>
    </w:pPr>
  </w:style>
  <w:style w:type="paragraph" w:styleId="941">
    <w:name w:val="Caption"/>
    <w:basedOn w:val="962"/>
    <w:next w:val="9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2">
    <w:name w:val="footnote text"/>
    <w:basedOn w:val="962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Footnote Text Char"/>
    <w:basedOn w:val="963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962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3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character" w:styleId="948">
    <w:name w:val="Hyperlink"/>
    <w:basedOn w:val="9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9">
    <w:name w:val="FollowedHyperlink"/>
    <w:basedOn w:val="9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0">
    <w:name w:val="toc 1"/>
    <w:basedOn w:val="962"/>
    <w:next w:val="962"/>
    <w:uiPriority w:val="39"/>
    <w:unhideWhenUsed/>
    <w:pPr>
      <w:pBdr/>
      <w:spacing w:after="100"/>
      <w:ind/>
    </w:pPr>
  </w:style>
  <w:style w:type="paragraph" w:styleId="951">
    <w:name w:val="toc 2"/>
    <w:basedOn w:val="962"/>
    <w:next w:val="962"/>
    <w:uiPriority w:val="39"/>
    <w:unhideWhenUsed/>
    <w:pPr>
      <w:pBdr/>
      <w:spacing w:after="100"/>
      <w:ind w:left="220"/>
    </w:pPr>
  </w:style>
  <w:style w:type="paragraph" w:styleId="952">
    <w:name w:val="toc 3"/>
    <w:basedOn w:val="962"/>
    <w:next w:val="962"/>
    <w:uiPriority w:val="39"/>
    <w:unhideWhenUsed/>
    <w:pPr>
      <w:pBdr/>
      <w:spacing w:after="100"/>
      <w:ind w:left="440"/>
    </w:pPr>
  </w:style>
  <w:style w:type="paragraph" w:styleId="953">
    <w:name w:val="toc 4"/>
    <w:basedOn w:val="962"/>
    <w:next w:val="962"/>
    <w:uiPriority w:val="39"/>
    <w:unhideWhenUsed/>
    <w:pPr>
      <w:pBdr/>
      <w:spacing w:after="100"/>
      <w:ind w:left="660"/>
    </w:pPr>
  </w:style>
  <w:style w:type="paragraph" w:styleId="954">
    <w:name w:val="toc 5"/>
    <w:basedOn w:val="962"/>
    <w:next w:val="962"/>
    <w:uiPriority w:val="39"/>
    <w:unhideWhenUsed/>
    <w:pPr>
      <w:pBdr/>
      <w:spacing w:after="100"/>
      <w:ind w:left="880"/>
    </w:pPr>
  </w:style>
  <w:style w:type="paragraph" w:styleId="955">
    <w:name w:val="toc 6"/>
    <w:basedOn w:val="962"/>
    <w:next w:val="962"/>
    <w:uiPriority w:val="39"/>
    <w:unhideWhenUsed/>
    <w:pPr>
      <w:pBdr/>
      <w:spacing w:after="100"/>
      <w:ind w:left="1100"/>
    </w:pPr>
  </w:style>
  <w:style w:type="paragraph" w:styleId="956">
    <w:name w:val="toc 7"/>
    <w:basedOn w:val="962"/>
    <w:next w:val="962"/>
    <w:uiPriority w:val="39"/>
    <w:unhideWhenUsed/>
    <w:pPr>
      <w:pBdr/>
      <w:spacing w:after="100"/>
      <w:ind w:left="1320"/>
    </w:pPr>
  </w:style>
  <w:style w:type="paragraph" w:styleId="957">
    <w:name w:val="toc 8"/>
    <w:basedOn w:val="962"/>
    <w:next w:val="962"/>
    <w:uiPriority w:val="39"/>
    <w:unhideWhenUsed/>
    <w:pPr>
      <w:pBdr/>
      <w:spacing w:after="100"/>
      <w:ind w:left="1540"/>
    </w:pPr>
  </w:style>
  <w:style w:type="paragraph" w:styleId="958">
    <w:name w:val="toc 9"/>
    <w:basedOn w:val="962"/>
    <w:next w:val="962"/>
    <w:uiPriority w:val="39"/>
    <w:unhideWhenUsed/>
    <w:pPr>
      <w:pBdr/>
      <w:spacing w:after="100"/>
      <w:ind w:left="1760"/>
    </w:pPr>
  </w:style>
  <w:style w:type="character" w:styleId="959">
    <w:name w:val="Placeholder Text"/>
    <w:basedOn w:val="963"/>
    <w:uiPriority w:val="99"/>
    <w:semiHidden/>
    <w:pPr>
      <w:pBdr/>
      <w:spacing/>
      <w:ind/>
    </w:pPr>
    <w:rPr>
      <w:color w:val="666666"/>
    </w:r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962"/>
    <w:next w:val="962"/>
    <w:uiPriority w:val="99"/>
    <w:unhideWhenUsed/>
    <w:pPr>
      <w:pBdr/>
      <w:spacing w:after="0" w:afterAutospacing="0"/>
      <w:ind/>
    </w:pPr>
  </w:style>
  <w:style w:type="paragraph" w:styleId="962" w:default="1">
    <w:name w:val="Normal"/>
    <w:qFormat/>
    <w:pPr>
      <w:pBdr/>
      <w:spacing/>
      <w:ind/>
    </w:pPr>
  </w:style>
  <w:style w:type="character" w:styleId="963" w:default="1">
    <w:name w:val="Default Paragraph Font"/>
    <w:uiPriority w:val="1"/>
    <w:semiHidden/>
    <w:unhideWhenUsed/>
    <w:pPr>
      <w:pBdr/>
      <w:spacing/>
      <w:ind/>
    </w:pPr>
  </w:style>
  <w:style w:type="table" w:styleId="9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5" w:default="1">
    <w:name w:val="No List"/>
    <w:uiPriority w:val="99"/>
    <w:semiHidden/>
    <w:unhideWhenUsed/>
    <w:pPr>
      <w:pBdr/>
      <w:spacing/>
      <w:ind/>
    </w:pPr>
  </w:style>
  <w:style w:type="paragraph" w:styleId="966">
    <w:name w:val="List Paragraph"/>
    <w:basedOn w:val="962"/>
    <w:uiPriority w:val="34"/>
    <w:qFormat/>
    <w:pPr>
      <w:pBdr/>
      <w:spacing/>
      <w:ind w:left="720"/>
      <w:contextualSpacing w:val="true"/>
    </w:pPr>
  </w:style>
  <w:style w:type="paragraph" w:styleId="967">
    <w:name w:val="Header"/>
    <w:basedOn w:val="962"/>
    <w:link w:val="96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8" w:customStyle="1">
    <w:name w:val="Hlavička Char"/>
    <w:basedOn w:val="963"/>
    <w:link w:val="967"/>
    <w:uiPriority w:val="99"/>
    <w:pPr>
      <w:pBdr/>
      <w:spacing/>
      <w:ind/>
    </w:pPr>
  </w:style>
  <w:style w:type="paragraph" w:styleId="969">
    <w:name w:val="Footer"/>
    <w:basedOn w:val="962"/>
    <w:link w:val="97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0" w:customStyle="1">
    <w:name w:val="Päta Char"/>
    <w:basedOn w:val="963"/>
    <w:link w:val="969"/>
    <w:uiPriority w:val="99"/>
    <w:pPr>
      <w:pBdr/>
      <w:spacing/>
      <w:ind/>
    </w:pPr>
  </w:style>
  <w:style w:type="table" w:styleId="971">
    <w:name w:val="Table Grid"/>
    <w:basedOn w:val="964"/>
    <w:uiPriority w:val="59"/>
    <w:pPr>
      <w:pBdr/>
      <w:spacing w:after="0" w:line="240" w:lineRule="auto"/>
      <w:ind/>
    </w:pPr>
    <w:rPr>
      <w:rFonts w:eastAsiaTheme="minorHAnsi"/>
      <w:lang w:val="sk-SK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Mriežka tabuľky1"/>
    <w:basedOn w:val="964"/>
    <w:next w:val="971"/>
    <w:uiPriority w:val="59"/>
    <w:pPr>
      <w:pBdr/>
      <w:spacing w:after="0" w:line="240" w:lineRule="auto"/>
      <w:ind/>
    </w:pPr>
    <w:rPr>
      <w:rFonts w:eastAsiaTheme="minorHAnsi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annotation text"/>
    <w:basedOn w:val="962"/>
    <w:link w:val="974"/>
    <w:uiPriority w:val="99"/>
    <w:semiHidden/>
    <w:unhideWhenUsed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974" w:customStyle="1">
    <w:name w:val="Text komentára Char"/>
    <w:basedOn w:val="963"/>
    <w:link w:val="973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E674978B-76A1-4797-87BB-40338FD3D74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163</cp:revision>
  <dcterms:created xsi:type="dcterms:W3CDTF">2016-02-11T10:46:00Z</dcterms:created>
  <dcterms:modified xsi:type="dcterms:W3CDTF">2026-04-08T17:07:41Z</dcterms:modified>
</cp:coreProperties>
</file>