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B501" w14:textId="654AB546" w:rsidR="00E149EA" w:rsidRPr="004A4420" w:rsidRDefault="00E149EA" w:rsidP="00E149EA">
      <w:pPr>
        <w:jc w:val="center"/>
        <w:rPr>
          <w:rFonts w:ascii="Garamond" w:hAnsi="Garamond"/>
          <w:b/>
          <w:bCs/>
          <w:sz w:val="22"/>
          <w:szCs w:val="22"/>
        </w:rPr>
      </w:pPr>
      <w:r w:rsidRPr="004A4420">
        <w:rPr>
          <w:rFonts w:ascii="Garamond" w:hAnsi="Garamond"/>
          <w:b/>
          <w:bCs/>
          <w:sz w:val="22"/>
          <w:szCs w:val="22"/>
        </w:rPr>
        <w:t>Informácia pre záujemcov</w:t>
      </w:r>
      <w:r w:rsidR="00FD2CD0" w:rsidRPr="004A4420">
        <w:rPr>
          <w:rFonts w:ascii="Garamond" w:hAnsi="Garamond"/>
          <w:b/>
          <w:bCs/>
          <w:sz w:val="22"/>
          <w:szCs w:val="22"/>
        </w:rPr>
        <w:t xml:space="preserve">: Vysvetlenie súťažných podkladov </w:t>
      </w:r>
    </w:p>
    <w:p w14:paraId="09F2452A" w14:textId="77777777" w:rsidR="00E149EA" w:rsidRPr="004A4420" w:rsidRDefault="00E149EA" w:rsidP="00E149EA">
      <w:pPr>
        <w:rPr>
          <w:rFonts w:ascii="Garamond" w:hAnsi="Garamond"/>
          <w:b/>
          <w:bCs/>
          <w:sz w:val="22"/>
          <w:szCs w:val="22"/>
        </w:rPr>
      </w:pPr>
    </w:p>
    <w:p w14:paraId="3B277A0B" w14:textId="03A3F356" w:rsidR="00895760" w:rsidRPr="004A4420" w:rsidRDefault="00895760" w:rsidP="002B4814">
      <w:pPr>
        <w:jc w:val="both"/>
        <w:rPr>
          <w:rFonts w:ascii="Garamond" w:hAnsi="Garamond"/>
          <w:sz w:val="22"/>
          <w:szCs w:val="22"/>
        </w:rPr>
      </w:pPr>
      <w:r w:rsidRPr="004A4420">
        <w:rPr>
          <w:rFonts w:ascii="Garamond" w:hAnsi="Garamond"/>
          <w:sz w:val="22"/>
          <w:szCs w:val="22"/>
        </w:rPr>
        <w:t>Obstarávateľská organizácia týmto oznamuje všetkým záujemcom, že v súvislosti s doručenou žiadosťou</w:t>
      </w:r>
      <w:r w:rsidR="002277D3" w:rsidRPr="004A4420">
        <w:rPr>
          <w:rFonts w:ascii="Garamond" w:hAnsi="Garamond"/>
          <w:sz w:val="22"/>
          <w:szCs w:val="22"/>
        </w:rPr>
        <w:t xml:space="preserve"> </w:t>
      </w:r>
      <w:r w:rsidRPr="004A4420">
        <w:rPr>
          <w:rFonts w:ascii="Garamond" w:hAnsi="Garamond"/>
          <w:sz w:val="22"/>
          <w:szCs w:val="22"/>
        </w:rPr>
        <w:t>o vysvetlenie k</w:t>
      </w:r>
      <w:r w:rsidR="002277D3" w:rsidRPr="004A4420">
        <w:rPr>
          <w:rFonts w:ascii="Garamond" w:hAnsi="Garamond"/>
          <w:sz w:val="22"/>
          <w:szCs w:val="22"/>
        </w:rPr>
        <w:t> </w:t>
      </w:r>
      <w:r w:rsidRPr="004A4420">
        <w:rPr>
          <w:rFonts w:ascii="Garamond" w:hAnsi="Garamond"/>
          <w:sz w:val="22"/>
          <w:szCs w:val="22"/>
        </w:rPr>
        <w:t>zákazke</w:t>
      </w:r>
      <w:r w:rsidR="002277D3" w:rsidRPr="004A4420">
        <w:rPr>
          <w:rFonts w:ascii="Garamond" w:hAnsi="Garamond"/>
          <w:sz w:val="22"/>
          <w:szCs w:val="22"/>
        </w:rPr>
        <w:t xml:space="preserve">: </w:t>
      </w:r>
      <w:r w:rsidR="002B4814" w:rsidRPr="004A4420">
        <w:rPr>
          <w:rFonts w:ascii="Garamond" w:hAnsi="Garamond" w:cs="Calibri"/>
          <w:b/>
          <w:bCs/>
          <w:sz w:val="22"/>
          <w:szCs w:val="22"/>
        </w:rPr>
        <w:t>„</w:t>
      </w:r>
      <w:r w:rsidR="002B4814" w:rsidRPr="004A4420">
        <w:rPr>
          <w:rFonts w:ascii="Garamond" w:hAnsi="Garamond"/>
          <w:b/>
          <w:bCs/>
          <w:sz w:val="22"/>
          <w:szCs w:val="22"/>
        </w:rPr>
        <w:t>Overovanie cestovných lístkov NICL v revízorských čítačkách_CP08/2026</w:t>
      </w:r>
      <w:r w:rsidR="002277D3" w:rsidRPr="004A4420">
        <w:rPr>
          <w:rFonts w:ascii="Garamond" w:hAnsi="Garamond"/>
          <w:b/>
          <w:bCs/>
          <w:sz w:val="22"/>
          <w:szCs w:val="22"/>
        </w:rPr>
        <w:t>“</w:t>
      </w:r>
      <w:r w:rsidRPr="004A4420">
        <w:rPr>
          <w:rFonts w:ascii="Garamond" w:hAnsi="Garamond"/>
          <w:b/>
          <w:bCs/>
          <w:sz w:val="22"/>
          <w:szCs w:val="22"/>
        </w:rPr>
        <w:t xml:space="preserve"> </w:t>
      </w:r>
      <w:r w:rsidRPr="004A4420">
        <w:rPr>
          <w:rFonts w:ascii="Garamond" w:hAnsi="Garamond"/>
          <w:sz w:val="22"/>
          <w:szCs w:val="22"/>
        </w:rPr>
        <w:t>poskytuje nasledovné vysvetlenie:</w:t>
      </w:r>
    </w:p>
    <w:p w14:paraId="6CDC6206" w14:textId="22350FF8" w:rsidR="004A4420" w:rsidRPr="00BE0B21" w:rsidRDefault="004A4420" w:rsidP="002B4814">
      <w:pPr>
        <w:jc w:val="both"/>
        <w:rPr>
          <w:rFonts w:ascii="Garamond" w:hAnsi="Garamond"/>
          <w:b/>
          <w:bCs/>
          <w:sz w:val="22"/>
          <w:szCs w:val="22"/>
          <w:u w:val="single"/>
        </w:rPr>
      </w:pPr>
      <w:r w:rsidRPr="00BE0B21">
        <w:rPr>
          <w:rFonts w:ascii="Garamond" w:hAnsi="Garamond"/>
          <w:b/>
          <w:bCs/>
          <w:sz w:val="22"/>
          <w:szCs w:val="22"/>
          <w:u w:val="single"/>
        </w:rPr>
        <w:t>Otázka č. 1:</w:t>
      </w:r>
    </w:p>
    <w:p w14:paraId="41F71B92" w14:textId="496F4450" w:rsidR="004A4420" w:rsidRPr="004A4420" w:rsidRDefault="004A4420" w:rsidP="004A4420">
      <w:pPr>
        <w:jc w:val="both"/>
        <w:rPr>
          <w:rFonts w:ascii="Garamond" w:hAnsi="Garamond"/>
          <w:sz w:val="22"/>
          <w:szCs w:val="22"/>
        </w:rPr>
      </w:pPr>
      <w:r w:rsidRPr="004A4420">
        <w:rPr>
          <w:rFonts w:ascii="Garamond" w:hAnsi="Garamond"/>
          <w:sz w:val="22"/>
          <w:szCs w:val="22"/>
        </w:rPr>
        <w:t>Prosíme o zodpovedanie nasledujúcich dvoch otázok: Špecifikácia revízorských čítačiek</w:t>
      </w:r>
    </w:p>
    <w:p w14:paraId="34CB26EE" w14:textId="5F9E47F0" w:rsidR="004A4420" w:rsidRPr="004A4420" w:rsidRDefault="004A4420" w:rsidP="004A4420">
      <w:pPr>
        <w:jc w:val="both"/>
        <w:rPr>
          <w:rFonts w:ascii="Garamond" w:hAnsi="Garamond"/>
          <w:sz w:val="22"/>
          <w:szCs w:val="22"/>
        </w:rPr>
      </w:pPr>
      <w:r w:rsidRPr="004A4420">
        <w:rPr>
          <w:rFonts w:ascii="Garamond" w:hAnsi="Garamond"/>
          <w:sz w:val="22"/>
          <w:szCs w:val="22"/>
        </w:rPr>
        <w:t>V Prílohe 2 sa uvádza, že predmetom zákazky je integrácia funkcionality v revízorských čítačkách od spoločností TELMAX s.r.o. a TransData s.r.o. pre účely systému NICL. V dokumentácii sa však nenachádza presná špecifikácia týchto zariadení. Žiadame obstarávateľa o uvedenie konkrétnych hardvérových modelov a verzií operačných systémov (prípadne iných relevantných technických parametrov) revízorských čítačiek oboch spomínaných dodávateľov, pre ktoré má byť integrácia zrealizovaná.</w:t>
      </w:r>
    </w:p>
    <w:p w14:paraId="3C11C17E" w14:textId="71B798C6" w:rsidR="004A4420" w:rsidRPr="004A4420" w:rsidRDefault="004A4420" w:rsidP="004A4420">
      <w:pPr>
        <w:jc w:val="both"/>
        <w:rPr>
          <w:rFonts w:ascii="Garamond" w:hAnsi="Garamond"/>
          <w:b/>
          <w:bCs/>
          <w:sz w:val="22"/>
          <w:szCs w:val="22"/>
          <w:u w:val="single"/>
        </w:rPr>
      </w:pPr>
      <w:r w:rsidRPr="004A4420">
        <w:rPr>
          <w:rFonts w:ascii="Garamond" w:hAnsi="Garamond"/>
          <w:b/>
          <w:bCs/>
          <w:sz w:val="22"/>
          <w:szCs w:val="22"/>
          <w:u w:val="single"/>
        </w:rPr>
        <w:t>Odpoveď</w:t>
      </w:r>
      <w:r w:rsidR="006E74C1">
        <w:rPr>
          <w:rFonts w:ascii="Garamond" w:hAnsi="Garamond"/>
          <w:b/>
          <w:bCs/>
          <w:sz w:val="22"/>
          <w:szCs w:val="22"/>
          <w:u w:val="single"/>
        </w:rPr>
        <w:t xml:space="preserve"> č. 1</w:t>
      </w:r>
      <w:r w:rsidRPr="004A4420">
        <w:rPr>
          <w:rFonts w:ascii="Garamond" w:hAnsi="Garamond"/>
          <w:b/>
          <w:bCs/>
          <w:sz w:val="22"/>
          <w:szCs w:val="22"/>
          <w:u w:val="single"/>
        </w:rPr>
        <w:t xml:space="preserve">: </w:t>
      </w:r>
    </w:p>
    <w:p w14:paraId="40833497" w14:textId="30D2DFE8" w:rsidR="004A4420" w:rsidRPr="00B06EE5" w:rsidRDefault="00B06EE5" w:rsidP="004A4420">
      <w:pPr>
        <w:jc w:val="both"/>
        <w:rPr>
          <w:rFonts w:ascii="Garamond" w:hAnsi="Garamond"/>
          <w:sz w:val="22"/>
          <w:szCs w:val="22"/>
        </w:rPr>
      </w:pPr>
      <w:r w:rsidRPr="00B06EE5">
        <w:rPr>
          <w:rFonts w:ascii="Garamond" w:hAnsi="Garamond"/>
          <w:sz w:val="22"/>
          <w:szCs w:val="22"/>
        </w:rPr>
        <w:t xml:space="preserve">Revízorská čítačka je mobilné zariadenie, ktoré slúži na kontrolu cestovných lístkov používaných v rámci Integrovaného dopravného systému Bratislavského kraja. Revízorské čítačky sú vybavené hardvérom - čítacím modulom pre načítavanie cestovných lístkov zakúpených na bankomatových kartách, bezkontaktných čipových kartách a elektronických peňaženkách, ako aj čítačkou QR kódov. Okrem iného majú v sebe zabudovaný POS terminál pre zabezpečenie bezhotovostných platieb za udelené pokuty. Revízorská čítačka je produkt spoločností TELMAX s.r.o. a TransData s.r.o., ktoré vyvíjali aj príslušný softvér pre kontrolu cestovných lístkov. Obstarávateľ nemá prístup do softvérových nastavení zariadenia. Zároveň si dovoľujem podotknúť, že na revízorské čítačky aktuálne plynie záručná lehota v trvaní 24 mesiacov. </w:t>
      </w:r>
    </w:p>
    <w:p w14:paraId="0EEB7605" w14:textId="6AC15922" w:rsidR="00895760" w:rsidRPr="004A4420" w:rsidRDefault="005D4BB4" w:rsidP="005D4BB4">
      <w:pPr>
        <w:jc w:val="both"/>
        <w:rPr>
          <w:rFonts w:ascii="Garamond" w:hAnsi="Garamond"/>
          <w:b/>
          <w:bCs/>
          <w:sz w:val="22"/>
          <w:szCs w:val="22"/>
          <w:u w:val="single"/>
        </w:rPr>
      </w:pPr>
      <w:r w:rsidRPr="004A4420">
        <w:rPr>
          <w:rFonts w:ascii="Garamond" w:hAnsi="Garamond"/>
          <w:b/>
          <w:bCs/>
          <w:sz w:val="22"/>
          <w:szCs w:val="22"/>
          <w:u w:val="single"/>
        </w:rPr>
        <w:t>Otázka</w:t>
      </w:r>
      <w:r w:rsidR="004A4420" w:rsidRPr="004A4420">
        <w:rPr>
          <w:rFonts w:ascii="Garamond" w:hAnsi="Garamond"/>
          <w:b/>
          <w:bCs/>
          <w:sz w:val="22"/>
          <w:szCs w:val="22"/>
          <w:u w:val="single"/>
        </w:rPr>
        <w:t xml:space="preserve"> č.2</w:t>
      </w:r>
      <w:r w:rsidRPr="004A4420">
        <w:rPr>
          <w:rFonts w:ascii="Garamond" w:hAnsi="Garamond"/>
          <w:b/>
          <w:bCs/>
          <w:sz w:val="22"/>
          <w:szCs w:val="22"/>
          <w:u w:val="single"/>
        </w:rPr>
        <w:t xml:space="preserve">: </w:t>
      </w:r>
    </w:p>
    <w:p w14:paraId="412AC396" w14:textId="486B01B7" w:rsidR="002B4814" w:rsidRPr="004A4420" w:rsidRDefault="002B4814" w:rsidP="002B4814">
      <w:pPr>
        <w:jc w:val="both"/>
        <w:rPr>
          <w:rFonts w:ascii="Garamond" w:hAnsi="Garamond"/>
          <w:sz w:val="22"/>
          <w:szCs w:val="22"/>
        </w:rPr>
      </w:pPr>
      <w:r w:rsidRPr="004A4420">
        <w:rPr>
          <w:rFonts w:ascii="Garamond" w:hAnsi="Garamond"/>
          <w:sz w:val="22"/>
          <w:szCs w:val="22"/>
        </w:rPr>
        <w:t>Spresnenie požadovaného oprávnenia (Technická a odborná spôsobilosť) V rámci podmienok účasti obstarávateľ požaduje preukázať, že uchádzač je autorizovaným partnerom, distribútorom alebo poskytovateľom služieb pre produkty spoločností TransData s.r.o. a TELMAX s.r.o., pričom doklad má byť vydaný "príslušným oprávneným subjektom". Žiadame obstarávateľa o presnejšiu definíciu, o aký konkrétny typ certifikátu či potvrdenia ide a kto presne je definovaný ako "príslušný oprávnený subjekt". Musí byť tento doklad vydaný priamo a výhradne samotnými spoločnosťami TELMAX s.r.o. a TransData s.r.o., alebo sú akceptovateľné aj iné formy preukázania oprávnenia poskytovať predmetné služby?</w:t>
      </w:r>
    </w:p>
    <w:p w14:paraId="21D27DC6" w14:textId="77777777" w:rsidR="00895760" w:rsidRPr="004A4420" w:rsidRDefault="00895760" w:rsidP="005D4BB4">
      <w:pPr>
        <w:jc w:val="both"/>
        <w:rPr>
          <w:rFonts w:ascii="Garamond" w:hAnsi="Garamond"/>
          <w:sz w:val="22"/>
          <w:szCs w:val="22"/>
        </w:rPr>
      </w:pPr>
    </w:p>
    <w:p w14:paraId="21CE6263" w14:textId="00B19003" w:rsidR="002B4814" w:rsidRPr="00B06EE5" w:rsidRDefault="00895760" w:rsidP="005D4BB4">
      <w:pPr>
        <w:jc w:val="both"/>
        <w:rPr>
          <w:rFonts w:ascii="Garamond" w:hAnsi="Garamond"/>
          <w:b/>
          <w:bCs/>
          <w:sz w:val="22"/>
          <w:szCs w:val="22"/>
          <w:u w:val="single"/>
        </w:rPr>
      </w:pPr>
      <w:r w:rsidRPr="00B06EE5">
        <w:rPr>
          <w:rFonts w:ascii="Garamond" w:hAnsi="Garamond"/>
          <w:b/>
          <w:bCs/>
          <w:sz w:val="22"/>
          <w:szCs w:val="22"/>
          <w:u w:val="single"/>
        </w:rPr>
        <w:t>Odpoveď</w:t>
      </w:r>
      <w:r w:rsidR="006E74C1">
        <w:rPr>
          <w:rFonts w:ascii="Garamond" w:hAnsi="Garamond"/>
          <w:b/>
          <w:bCs/>
          <w:sz w:val="22"/>
          <w:szCs w:val="22"/>
          <w:u w:val="single"/>
        </w:rPr>
        <w:t>č. 2</w:t>
      </w:r>
      <w:r w:rsidRPr="00B06EE5">
        <w:rPr>
          <w:rFonts w:ascii="Garamond" w:hAnsi="Garamond"/>
          <w:b/>
          <w:bCs/>
          <w:sz w:val="22"/>
          <w:szCs w:val="22"/>
          <w:u w:val="single"/>
        </w:rPr>
        <w:t>:</w:t>
      </w:r>
    </w:p>
    <w:p w14:paraId="30C44CDB" w14:textId="77777777" w:rsidR="00B06EE5" w:rsidRPr="00B06EE5" w:rsidRDefault="00B06EE5" w:rsidP="00B06EE5">
      <w:pPr>
        <w:jc w:val="both"/>
        <w:rPr>
          <w:rFonts w:ascii="Garamond" w:hAnsi="Garamond"/>
          <w:sz w:val="22"/>
          <w:szCs w:val="22"/>
        </w:rPr>
      </w:pPr>
      <w:r w:rsidRPr="00B06EE5">
        <w:rPr>
          <w:rFonts w:ascii="Garamond" w:hAnsi="Garamond"/>
          <w:sz w:val="22"/>
          <w:szCs w:val="22"/>
        </w:rPr>
        <w:t xml:space="preserve">Vzhľadom na to, že revízorské čítačky sú produktom spoločností TELMAX s.r.o. a TransData s.r.o., ktoré vyvíjali aj príslušný softvér pre kontrolu cestovných lístkov a obstarávateľ nemá prístup do softvérových nastavení zariadení potrebných pre zabezpečenie integrácie funkcionality overovania cestovných lístkov NICL, ako aj na plynutie záručnej lehoty na uvádzané zariadenia, je uchádzač povinný predložiť relevantný doklad, ktorým preukáže oprávnenie k prístupu a vykonaniu realizácie integrácie overovania cestovných lístkov NICL v softvérovom vybavení revízorských čítačiek potvrdené spoločnosťami TELMAX s.r.o. a TransData s.r.o. . </w:t>
      </w:r>
    </w:p>
    <w:p w14:paraId="70D070DD" w14:textId="77777777" w:rsidR="00B06EE5" w:rsidRPr="00B06EE5" w:rsidRDefault="00B06EE5" w:rsidP="005D4BB4">
      <w:pPr>
        <w:jc w:val="both"/>
        <w:rPr>
          <w:rFonts w:ascii="Garamond" w:hAnsi="Garamond"/>
          <w:sz w:val="22"/>
          <w:szCs w:val="22"/>
        </w:rPr>
      </w:pPr>
    </w:p>
    <w:sectPr w:rsidR="00B06EE5" w:rsidRPr="00B06E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AD37" w14:textId="77777777" w:rsidR="0019777B" w:rsidRDefault="0019777B" w:rsidP="00EB145D">
      <w:pPr>
        <w:spacing w:after="0" w:line="240" w:lineRule="auto"/>
      </w:pPr>
      <w:r>
        <w:separator/>
      </w:r>
    </w:p>
  </w:endnote>
  <w:endnote w:type="continuationSeparator" w:id="0">
    <w:p w14:paraId="08A46E87" w14:textId="77777777" w:rsidR="0019777B" w:rsidRDefault="0019777B" w:rsidP="00EB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A1574" w14:textId="77777777" w:rsidR="0019777B" w:rsidRDefault="0019777B" w:rsidP="00EB145D">
      <w:pPr>
        <w:spacing w:after="0" w:line="240" w:lineRule="auto"/>
      </w:pPr>
      <w:r>
        <w:separator/>
      </w:r>
    </w:p>
  </w:footnote>
  <w:footnote w:type="continuationSeparator" w:id="0">
    <w:p w14:paraId="42504746" w14:textId="77777777" w:rsidR="0019777B" w:rsidRDefault="0019777B" w:rsidP="00EB1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start w:val="1"/>
      <w:numFmt w:val="bullet"/>
      <w:lvlText w:val="o"/>
      <w:lvlJc w:val="left"/>
      <w:pPr>
        <w:ind w:left="2565" w:hanging="360"/>
      </w:pPr>
      <w:rPr>
        <w:rFonts w:ascii="Courier New" w:hAnsi="Courier New" w:cs="Courier New" w:hint="default"/>
      </w:rPr>
    </w:lvl>
    <w:lvl w:ilvl="2" w:tplc="041B0005">
      <w:start w:val="1"/>
      <w:numFmt w:val="bullet"/>
      <w:lvlText w:val=""/>
      <w:lvlJc w:val="left"/>
      <w:pPr>
        <w:ind w:left="3285" w:hanging="360"/>
      </w:pPr>
      <w:rPr>
        <w:rFonts w:ascii="Wingdings" w:hAnsi="Wingdings" w:hint="default"/>
      </w:rPr>
    </w:lvl>
    <w:lvl w:ilvl="3" w:tplc="041B0001">
      <w:start w:val="1"/>
      <w:numFmt w:val="bullet"/>
      <w:lvlText w:val=""/>
      <w:lvlJc w:val="left"/>
      <w:pPr>
        <w:ind w:left="4005" w:hanging="360"/>
      </w:pPr>
      <w:rPr>
        <w:rFonts w:ascii="Symbol" w:hAnsi="Symbol" w:hint="default"/>
      </w:rPr>
    </w:lvl>
    <w:lvl w:ilvl="4" w:tplc="041B0003">
      <w:start w:val="1"/>
      <w:numFmt w:val="bullet"/>
      <w:lvlText w:val="o"/>
      <w:lvlJc w:val="left"/>
      <w:pPr>
        <w:ind w:left="4725" w:hanging="360"/>
      </w:pPr>
      <w:rPr>
        <w:rFonts w:ascii="Courier New" w:hAnsi="Courier New" w:cs="Courier New" w:hint="default"/>
      </w:rPr>
    </w:lvl>
    <w:lvl w:ilvl="5" w:tplc="041B0005">
      <w:start w:val="1"/>
      <w:numFmt w:val="bullet"/>
      <w:lvlText w:val=""/>
      <w:lvlJc w:val="left"/>
      <w:pPr>
        <w:ind w:left="5445" w:hanging="360"/>
      </w:pPr>
      <w:rPr>
        <w:rFonts w:ascii="Wingdings" w:hAnsi="Wingdings" w:hint="default"/>
      </w:rPr>
    </w:lvl>
    <w:lvl w:ilvl="6" w:tplc="041B0001">
      <w:start w:val="1"/>
      <w:numFmt w:val="bullet"/>
      <w:lvlText w:val=""/>
      <w:lvlJc w:val="left"/>
      <w:pPr>
        <w:ind w:left="6165" w:hanging="360"/>
      </w:pPr>
      <w:rPr>
        <w:rFonts w:ascii="Symbol" w:hAnsi="Symbol" w:hint="default"/>
      </w:rPr>
    </w:lvl>
    <w:lvl w:ilvl="7" w:tplc="041B0003">
      <w:start w:val="1"/>
      <w:numFmt w:val="bullet"/>
      <w:lvlText w:val="o"/>
      <w:lvlJc w:val="left"/>
      <w:pPr>
        <w:ind w:left="6885" w:hanging="360"/>
      </w:pPr>
      <w:rPr>
        <w:rFonts w:ascii="Courier New" w:hAnsi="Courier New" w:cs="Courier New" w:hint="default"/>
      </w:rPr>
    </w:lvl>
    <w:lvl w:ilvl="8" w:tplc="041B0005">
      <w:start w:val="1"/>
      <w:numFmt w:val="bullet"/>
      <w:lvlText w:val=""/>
      <w:lvlJc w:val="left"/>
      <w:pPr>
        <w:ind w:left="7605" w:hanging="360"/>
      </w:pPr>
      <w:rPr>
        <w:rFonts w:ascii="Wingdings" w:hAnsi="Wingdings" w:hint="default"/>
      </w:rPr>
    </w:lvl>
  </w:abstractNum>
  <w:abstractNum w:abstractNumId="1" w15:restartNumberingAfterBreak="0">
    <w:nsid w:val="4EF54843"/>
    <w:multiLevelType w:val="multilevel"/>
    <w:tmpl w:val="EE26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8050F"/>
    <w:multiLevelType w:val="hybridMultilevel"/>
    <w:tmpl w:val="A1E0A65C"/>
    <w:lvl w:ilvl="0" w:tplc="DEA2AA44">
      <w:numFmt w:val="bullet"/>
      <w:lvlText w:val="-"/>
      <w:lvlJc w:val="left"/>
      <w:pPr>
        <w:ind w:left="1778" w:hanging="360"/>
      </w:pPr>
      <w:rPr>
        <w:rFonts w:ascii="Garamond" w:eastAsia="Calibri" w:hAnsi="Garamond" w:cs="Times New Roman" w:hint="default"/>
      </w:r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num w:numId="1" w16cid:durableId="1351300621">
    <w:abstractNumId w:val="0"/>
  </w:num>
  <w:num w:numId="2" w16cid:durableId="1479882696">
    <w:abstractNumId w:val="2"/>
  </w:num>
  <w:num w:numId="3" w16cid:durableId="1055350142">
    <w:abstractNumId w:val="0"/>
  </w:num>
  <w:num w:numId="4" w16cid:durableId="1079862602">
    <w:abstractNumId w:val="2"/>
  </w:num>
  <w:num w:numId="5" w16cid:durableId="207651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C5"/>
    <w:rsid w:val="0019777B"/>
    <w:rsid w:val="001E0AC2"/>
    <w:rsid w:val="00221E04"/>
    <w:rsid w:val="002277D3"/>
    <w:rsid w:val="00276A41"/>
    <w:rsid w:val="002B4814"/>
    <w:rsid w:val="00333EA6"/>
    <w:rsid w:val="003A2270"/>
    <w:rsid w:val="003F03C6"/>
    <w:rsid w:val="003F7DD8"/>
    <w:rsid w:val="004A4420"/>
    <w:rsid w:val="005517E4"/>
    <w:rsid w:val="005A4551"/>
    <w:rsid w:val="005D4BB4"/>
    <w:rsid w:val="005E32D6"/>
    <w:rsid w:val="006172DA"/>
    <w:rsid w:val="006968C5"/>
    <w:rsid w:val="006B49DF"/>
    <w:rsid w:val="006E74C1"/>
    <w:rsid w:val="00743659"/>
    <w:rsid w:val="0074525D"/>
    <w:rsid w:val="00752851"/>
    <w:rsid w:val="00757877"/>
    <w:rsid w:val="007C18C1"/>
    <w:rsid w:val="00801BB2"/>
    <w:rsid w:val="00874D3B"/>
    <w:rsid w:val="00895760"/>
    <w:rsid w:val="00903105"/>
    <w:rsid w:val="00953F48"/>
    <w:rsid w:val="009652CE"/>
    <w:rsid w:val="0097597A"/>
    <w:rsid w:val="009D23EE"/>
    <w:rsid w:val="00A02E96"/>
    <w:rsid w:val="00AD1BC4"/>
    <w:rsid w:val="00B06EE5"/>
    <w:rsid w:val="00B306E7"/>
    <w:rsid w:val="00B45576"/>
    <w:rsid w:val="00B67BEA"/>
    <w:rsid w:val="00BE0B21"/>
    <w:rsid w:val="00BE6A32"/>
    <w:rsid w:val="00C42C91"/>
    <w:rsid w:val="00DE6A25"/>
    <w:rsid w:val="00E149EA"/>
    <w:rsid w:val="00E63782"/>
    <w:rsid w:val="00EB145D"/>
    <w:rsid w:val="00F0496E"/>
    <w:rsid w:val="00F73121"/>
    <w:rsid w:val="00FA2776"/>
    <w:rsid w:val="00FB0156"/>
    <w:rsid w:val="00FD2C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A1D1"/>
  <w15:chartTrackingRefBased/>
  <w15:docId w15:val="{F133515E-4F22-43B1-9897-657A60AC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96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96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968C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968C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968C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968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968C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968C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968C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968C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968C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968C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968C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968C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968C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968C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968C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968C5"/>
    <w:rPr>
      <w:rFonts w:eastAsiaTheme="majorEastAsia" w:cstheme="majorBidi"/>
      <w:color w:val="272727" w:themeColor="text1" w:themeTint="D8"/>
    </w:rPr>
  </w:style>
  <w:style w:type="paragraph" w:styleId="Nzov">
    <w:name w:val="Title"/>
    <w:basedOn w:val="Normlny"/>
    <w:next w:val="Normlny"/>
    <w:link w:val="NzovChar"/>
    <w:uiPriority w:val="10"/>
    <w:qFormat/>
    <w:rsid w:val="00696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968C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968C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968C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968C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968C5"/>
    <w:rPr>
      <w:i/>
      <w:iCs/>
      <w:color w:val="404040" w:themeColor="text1" w:themeTint="BF"/>
    </w:rPr>
  </w:style>
  <w:style w:type="paragraph" w:styleId="Odsekzoznamu">
    <w:name w:val="List Paragraph"/>
    <w:basedOn w:val="Normlny"/>
    <w:uiPriority w:val="34"/>
    <w:qFormat/>
    <w:rsid w:val="006968C5"/>
    <w:pPr>
      <w:ind w:left="720"/>
      <w:contextualSpacing/>
    </w:pPr>
  </w:style>
  <w:style w:type="character" w:styleId="Intenzvnezvraznenie">
    <w:name w:val="Intense Emphasis"/>
    <w:basedOn w:val="Predvolenpsmoodseku"/>
    <w:uiPriority w:val="21"/>
    <w:qFormat/>
    <w:rsid w:val="006968C5"/>
    <w:rPr>
      <w:i/>
      <w:iCs/>
      <w:color w:val="2F5496" w:themeColor="accent1" w:themeShade="BF"/>
    </w:rPr>
  </w:style>
  <w:style w:type="paragraph" w:styleId="Zvraznencitcia">
    <w:name w:val="Intense Quote"/>
    <w:basedOn w:val="Normlny"/>
    <w:next w:val="Normlny"/>
    <w:link w:val="ZvraznencitciaChar"/>
    <w:uiPriority w:val="30"/>
    <w:qFormat/>
    <w:rsid w:val="00696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968C5"/>
    <w:rPr>
      <w:i/>
      <w:iCs/>
      <w:color w:val="2F5496" w:themeColor="accent1" w:themeShade="BF"/>
    </w:rPr>
  </w:style>
  <w:style w:type="character" w:styleId="Zvraznenodkaz">
    <w:name w:val="Intense Reference"/>
    <w:basedOn w:val="Predvolenpsmoodseku"/>
    <w:uiPriority w:val="32"/>
    <w:qFormat/>
    <w:rsid w:val="006968C5"/>
    <w:rPr>
      <w:b/>
      <w:bCs/>
      <w:smallCaps/>
      <w:color w:val="2F5496" w:themeColor="accent1" w:themeShade="BF"/>
      <w:spacing w:val="5"/>
    </w:rPr>
  </w:style>
  <w:style w:type="paragraph" w:styleId="Hlavika">
    <w:name w:val="header"/>
    <w:basedOn w:val="Normlny"/>
    <w:link w:val="HlavikaChar"/>
    <w:uiPriority w:val="99"/>
    <w:unhideWhenUsed/>
    <w:rsid w:val="00EB14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145D"/>
  </w:style>
  <w:style w:type="paragraph" w:styleId="Pta">
    <w:name w:val="footer"/>
    <w:basedOn w:val="Normlny"/>
    <w:link w:val="PtaChar"/>
    <w:uiPriority w:val="99"/>
    <w:unhideWhenUsed/>
    <w:rsid w:val="00EB145D"/>
    <w:pPr>
      <w:tabs>
        <w:tab w:val="center" w:pos="4536"/>
        <w:tab w:val="right" w:pos="9072"/>
      </w:tabs>
      <w:spacing w:after="0" w:line="240" w:lineRule="auto"/>
    </w:pPr>
  </w:style>
  <w:style w:type="character" w:customStyle="1" w:styleId="PtaChar">
    <w:name w:val="Päta Char"/>
    <w:basedOn w:val="Predvolenpsmoodseku"/>
    <w:link w:val="Pta"/>
    <w:uiPriority w:val="99"/>
    <w:rsid w:val="00EB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454</Words>
  <Characters>2592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Škopeková Zuzana</dc:creator>
  <cp:keywords/>
  <dc:description/>
  <cp:lastModifiedBy>Morvayová Alena</cp:lastModifiedBy>
  <cp:revision>22</cp:revision>
  <cp:lastPrinted>2025-12-15T12:33:00Z</cp:lastPrinted>
  <dcterms:created xsi:type="dcterms:W3CDTF">2025-10-09T09:28:00Z</dcterms:created>
  <dcterms:modified xsi:type="dcterms:W3CDTF">2026-04-23T13:26:00Z</dcterms:modified>
</cp:coreProperties>
</file>