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0"/>
        <w:rPr>
          <w:rFonts w:ascii="Bookman Old Style" w:hAnsi="Bookman Old Style" w:eastAsia="Times New Roman" w:cs="Times New Roman"/>
          <w:b w:val="false"/>
          <w:bCs w:val="false"/>
          <w:sz w:val="34"/>
          <w:szCs w:val="34"/>
          <w:lang w:eastAsia="pl-PL"/>
        </w:rPr>
      </w:pP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eastAsia="pl-PL"/>
        </w:rPr>
        <w:t>Załącznik nr 5</w:t>
      </w:r>
      <w:r>
        <w:rPr>
          <w:rFonts w:eastAsia="Times New Roman" w:cs="Times New Roman" w:ascii="Bookman Old Style" w:hAnsi="Bookman Old Style"/>
          <w:b w:val="false"/>
          <w:bCs w:val="false"/>
          <w:sz w:val="34"/>
          <w:szCs w:val="34"/>
          <w:lang w:eastAsia="pl-PL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eastAsia="Times New Roman" w:cs="Times New Roman"/>
          <w:b/>
          <w:bCs w:val="false"/>
          <w:lang w:eastAsia="pl-PL"/>
        </w:rPr>
      </w:pPr>
      <w:r>
        <w:rPr>
          <w:rFonts w:eastAsia="Times New Roman" w:cs="Times New Roman"/>
          <w:b/>
          <w:bCs w:val="false"/>
          <w:lang w:eastAsia="pl-PL"/>
        </w:rPr>
      </w:r>
    </w:p>
    <w:p>
      <w:pPr>
        <w:pStyle w:val="BodyText"/>
        <w:ind w:hanging="0" w:left="426"/>
        <w:jc w:val="center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b/>
          <w:bCs/>
          <w:color w:val="000000"/>
          <w:sz w:val="28"/>
          <w:szCs w:val="28"/>
        </w:rPr>
        <w:t>„</w:t>
      </w:r>
      <w:r>
        <w:rPr>
          <w:rFonts w:cs="Arial" w:ascii="Times New Roman" w:hAnsi="Times New Roman"/>
          <w:b/>
          <w:bCs/>
          <w:color w:val="000000"/>
          <w:sz w:val="28"/>
          <w:szCs w:val="28"/>
        </w:rPr>
        <w:t>Zakup i dostawa śmieciarki do zbiórki odpadów komunalnych zmieszanych i selektywnie zbieranych ”</w:t>
      </w:r>
    </w:p>
    <w:p>
      <w:pPr>
        <w:pStyle w:val="Normal"/>
        <w:spacing w:lineRule="auto" w:line="36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</w:rPr>
        <w:t>Oznaczenie sprawy: PA/06/KA/2026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Dane dotyczące Wykonawcy: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Nazwa  ……………………………………………………………………………………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Siedziba …………………………………………………………………………………..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Nr telefonu/faks …………………………………………………………………………..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e. mail ……………………………………………………………………………………..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Nr NIP ……………………………………………………………………………………..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Nr REGON ………………………………………………………………………………..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Dane dotyczące Zamawiającego:</w:t>
      </w:r>
    </w:p>
    <w:p>
      <w:pPr>
        <w:pStyle w:val="Normal"/>
        <w:rPr>
          <w:rFonts w:ascii="Arial" w:hAnsi="Arial"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>Zakład Gospodarki Komunalnej Spółka z o.o.</w:t>
      </w:r>
    </w:p>
    <w:p>
      <w:pPr>
        <w:pStyle w:val="Normal"/>
        <w:rPr>
          <w:rFonts w:ascii="Arial" w:hAnsi="Arial"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>34-120 Andrychów ul. S. Batorego 24</w:t>
      </w:r>
    </w:p>
    <w:p>
      <w:pPr>
        <w:pStyle w:val="Normal"/>
        <w:tabs>
          <w:tab w:val="clear" w:pos="708"/>
          <w:tab w:val="left" w:pos="3690" w:leader="none"/>
        </w:tabs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ab/>
      </w:r>
    </w:p>
    <w:tbl>
      <w:tblPr>
        <w:tblW w:w="9503" w:type="dxa"/>
        <w:jc w:val="left"/>
        <w:tblInd w:w="38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694"/>
        <w:gridCol w:w="7097"/>
        <w:gridCol w:w="10"/>
        <w:gridCol w:w="850"/>
        <w:gridCol w:w="851"/>
      </w:tblGrid>
      <w:tr>
        <w:trPr>
          <w:trHeight w:val="956" w:hRule="atLeast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7107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 xml:space="preserve">Wymagane parametry techniczne i wyposażenie, jakie musi posiadać oferowany pojazd </w:t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>wielofunkcyjny</w:t>
            </w:r>
          </w:p>
        </w:tc>
        <w:tc>
          <w:tcPr>
            <w:tcW w:w="850" w:type="dxa"/>
            <w:tcBorders>
              <w:top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tak*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nie</w:t>
            </w:r>
            <w:r>
              <w:rPr>
                <w:sz w:val="16"/>
                <w:szCs w:val="16"/>
              </w:rPr>
              <w:t>*</w:t>
            </w:r>
          </w:p>
        </w:tc>
      </w:tr>
      <w:tr>
        <w:trPr>
          <w:trHeight w:val="290" w:hRule="atLeast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808" w:type="dxa"/>
            <w:gridSpan w:val="4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Pojazd bazowy: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/>
            </w:pPr>
            <w:r>
              <w:rPr>
                <w:rFonts w:cs="Arial" w:ascii="Arial" w:hAnsi="Arial"/>
              </w:rPr>
              <w:t>Pojazd, rok produkcji nie później niż 2023r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/>
            </w:pPr>
            <w:r>
              <w:rPr>
                <w:rFonts w:cs="Arial" w:ascii="Arial" w:hAnsi="Arial"/>
              </w:rPr>
              <w:t>Pojazd wyprodukowany do ruchu prawostronnego,kierownica po lewej stronie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/>
            </w:pPr>
            <w:r>
              <w:rPr>
                <w:rFonts w:cs="Arial" w:ascii="Arial" w:hAnsi="Arial"/>
              </w:rPr>
              <w:t>Przebieg max 45.000 km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642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/>
            </w:pPr>
            <w:r>
              <w:rPr>
                <w:rFonts w:cs="Arial" w:ascii="Arial" w:hAnsi="Arial"/>
              </w:rPr>
              <w:t>Podwozie 3 osiowe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/>
            </w:pPr>
            <w:r>
              <w:rPr>
                <w:rFonts w:cs="Arial" w:ascii="Arial" w:hAnsi="Arial"/>
              </w:rPr>
              <w:t>Dopuszczalna masa całkowita od  26000 kg do 28 000 kg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both"/>
              <w:rPr/>
            </w:pPr>
            <w:r>
              <w:rPr>
                <w:rFonts w:cs="Arial" w:ascii="Arial" w:hAnsi="Arial"/>
              </w:rPr>
              <w:t>Rozdział napędu na poszczególne osie 3,70 m – 4,00 m.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</w:rPr>
              <w:t>Oś napędowa wyposażona w koła bliźniacze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08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KABINA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09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88" w:before="0" w:after="200"/>
              <w:jc w:val="both"/>
              <w:rPr/>
            </w:pPr>
            <w:r>
              <w:rPr>
                <w:rFonts w:cs="Arial" w:ascii="Arial" w:hAnsi="Arial"/>
              </w:rPr>
              <w:t>Kabina dzienna,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19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both"/>
              <w:rPr/>
            </w:pPr>
            <w:r>
              <w:rPr>
                <w:rFonts w:cs="Arial" w:ascii="Arial" w:hAnsi="Arial"/>
              </w:rPr>
              <w:t>Ilość miejsc siedzących 3,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19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200"/>
              <w:rPr/>
            </w:pPr>
            <w:r>
              <w:rPr>
                <w:rFonts w:cs="Arial" w:ascii="Arial" w:hAnsi="Arial"/>
              </w:rPr>
              <w:t>Układ kierowniczy ze wspomaganiem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22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88" w:before="0" w:after="200"/>
              <w:jc w:val="both"/>
              <w:rPr/>
            </w:pPr>
            <w:r>
              <w:rPr>
                <w:rFonts w:cs="Arial" w:ascii="Arial" w:hAnsi="Arial"/>
              </w:rPr>
              <w:t>Fotel kierowcy z zawieszeniem pneumatycznym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both"/>
              <w:rPr/>
            </w:pPr>
            <w:r>
              <w:rPr>
                <w:rFonts w:cs="Arial" w:ascii="Arial" w:hAnsi="Arial"/>
              </w:rPr>
              <w:t>Wszystkie miejsca siedzące z pasami bezpieczeństwa i zagłówkami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</w:rPr>
              <w:t>Lusterko szerokokątne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both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pl-PL"/>
              </w:rPr>
              <w:t>PODWOZIE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</w:rPr>
              <w:t>3- osiowe,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both"/>
              <w:rPr/>
            </w:pPr>
            <w:r>
              <w:rPr>
                <w:rFonts w:cs="Arial" w:ascii="Arial" w:hAnsi="Arial"/>
              </w:rPr>
              <w:t>Skrzynia biegów automatyczna,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/>
            </w:pPr>
            <w:r>
              <w:rPr>
                <w:rFonts w:cs="Arial" w:ascii="Arial" w:hAnsi="Arial"/>
              </w:rPr>
              <w:t>Norma emisji spalin min EURO 6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/>
            </w:pPr>
            <w:r>
              <w:rPr>
                <w:rFonts w:cs="Arial" w:ascii="Arial" w:hAnsi="Arial"/>
              </w:rPr>
              <w:t>Przystawka odbioru mocy spełniająca wymogi zabudowy,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38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/>
            </w:pP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Oś pierwsza i druga skrętne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32" w:hRule="atLeast"/>
        </w:trPr>
        <w:tc>
          <w:tcPr>
            <w:tcW w:w="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88" w:before="0" w:after="200"/>
              <w:jc w:val="both"/>
              <w:rPr/>
            </w:pPr>
            <w:r>
              <w:rPr>
                <w:rFonts w:cs="Arial" w:ascii="Arial" w:hAnsi="Arial"/>
              </w:rPr>
              <w:t>Ogumienie kół całoroczne nowe lub min. 90%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UKŁAD HAMULCOWY.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26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/>
            </w:pPr>
            <w:r>
              <w:rPr>
                <w:rFonts w:cs="Arial" w:ascii="Arial" w:hAnsi="Arial"/>
              </w:rPr>
              <w:t>Elektroniczny system hamowania ABS, ASR.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/>
            </w:pPr>
            <w:r>
              <w:rPr>
                <w:rFonts w:cs="Arial" w:ascii="Arial" w:hAnsi="Arial"/>
              </w:rPr>
              <w:t>Hamulce tarczowe na wszystkich osiach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SILNIK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/>
            </w:pPr>
            <w:r>
              <w:rPr>
                <w:rFonts w:cs="Arial" w:ascii="Arial" w:hAnsi="Arial"/>
              </w:rPr>
              <w:t>Wysokoprężny o pojemności min. 7500 cm3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/>
            </w:pPr>
            <w:r>
              <w:rPr>
                <w:rFonts w:cs="Arial" w:ascii="Arial" w:hAnsi="Arial"/>
              </w:rPr>
              <w:t>Moc silnika minimum 290 KM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47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/>
            </w:pPr>
            <w:r>
              <w:rPr>
                <w:rFonts w:cs="Arial" w:ascii="Arial" w:hAnsi="Arial"/>
              </w:rPr>
              <w:t>Ograniczenie prędkości do 90 km/h,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</w:r>
          </w:p>
        </w:tc>
      </w:tr>
      <w:tr>
        <w:trPr>
          <w:trHeight w:val="347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200"/>
              <w:rPr/>
            </w:pPr>
            <w:r>
              <w:rPr>
                <w:rFonts w:cs="Arial" w:ascii="Arial" w:hAnsi="Arial"/>
              </w:rPr>
              <w:t>Spełniający normę emisji spalin co najmniej EURO 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808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/>
            </w:pPr>
            <w:r>
              <w:rPr>
                <w:rFonts w:cs="Arial" w:ascii="Arial" w:hAnsi="Arial"/>
                <w:b/>
              </w:rPr>
              <w:t>UKŁAD PRZENIESIENIA NAPĘDU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/>
            </w:pPr>
            <w:r>
              <w:rPr>
                <w:rFonts w:cs="Arial" w:ascii="Arial" w:hAnsi="Arial"/>
              </w:rPr>
              <w:t>Skrzynia biegów automatyczna ,przystawka odbioru mocy</w:t>
            </w:r>
          </w:p>
        </w:tc>
        <w:tc>
          <w:tcPr>
            <w:tcW w:w="8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88" w:before="0" w:after="200"/>
              <w:jc w:val="both"/>
              <w:rPr/>
            </w:pPr>
            <w:r>
              <w:rPr>
                <w:rFonts w:cs="Arial" w:ascii="Arial" w:hAnsi="Arial"/>
              </w:rPr>
              <w:t>Przełożenie przekładni głównej jak do tego typu pojazdów i=5,5-6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UKŁAD KIEROWNICZY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23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/>
            </w:pPr>
            <w:r>
              <w:rPr>
                <w:rFonts w:cs="Arial" w:ascii="Arial" w:hAnsi="Arial"/>
              </w:rPr>
              <w:t>Ze wspomaganiem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74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/>
            </w:pPr>
            <w:r>
              <w:rPr>
                <w:rFonts w:cs="Arial" w:ascii="Arial" w:hAnsi="Arial"/>
              </w:rPr>
              <w:t>Kierownica umieszczona  po lewej stronie od początku produkcji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77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WYPOSAŻENIE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/>
            </w:pPr>
            <w:r>
              <w:rPr>
                <w:rFonts w:cs="Arial" w:ascii="Arial" w:hAnsi="Arial"/>
              </w:rPr>
              <w:t>Oświetlenie,wyposażone i oznakowanie umożliwiająca zarejestrowanie i poruszanie się po drogach publicznych.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/>
            </w:pPr>
            <w:r>
              <w:rPr>
                <w:rFonts w:cs="Arial" w:ascii="Arial" w:hAnsi="Arial"/>
              </w:rPr>
              <w:t>Reflektor boczny oświetlający pole pracy z tyłu zabudowy pojazdu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/>
            </w:pPr>
            <w:r>
              <w:rPr>
                <w:rFonts w:cs="Arial" w:ascii="Arial" w:hAnsi="Arial"/>
              </w:rPr>
              <w:t>Lampy ostrzegawcze typu kogut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/>
            </w:pPr>
            <w:r>
              <w:rPr>
                <w:rFonts w:cs="Arial" w:ascii="Arial" w:hAnsi="Arial"/>
              </w:rPr>
              <w:t>Światła przeciw mgielne halog.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/>
            </w:pPr>
            <w:r>
              <w:rPr>
                <w:rFonts w:cs="Arial" w:ascii="Arial" w:hAnsi="Arial"/>
              </w:rPr>
              <w:t>Klimatyzacja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67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/>
            </w:pPr>
            <w:r>
              <w:rPr>
                <w:rFonts w:cs="Arial" w:ascii="Arial" w:hAnsi="Arial"/>
              </w:rPr>
              <w:t>Tempomat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/>
            </w:pPr>
            <w:r>
              <w:rPr>
                <w:rFonts w:cs="Arial" w:ascii="Arial" w:hAnsi="Arial"/>
              </w:rPr>
              <w:t>Kamera  cofania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364" w:hRule="atLeast"/>
        </w:trPr>
        <w:tc>
          <w:tcPr>
            <w:tcW w:w="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/>
            </w:pPr>
            <w:r>
              <w:rPr>
                <w:rFonts w:cs="Arial" w:ascii="Arial" w:hAnsi="Arial"/>
              </w:rPr>
              <w:t>Radio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both"/>
              <w:rPr/>
            </w:pPr>
            <w:r>
              <w:rPr>
                <w:rFonts w:cs="Arial" w:ascii="Arial" w:hAnsi="Arial"/>
                <w:color w:val="000000"/>
              </w:rPr>
              <w:t>Trójkąt ostrzegawczy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</w:rPr>
              <w:t>Apteczka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Kliny do kól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Klucz do kół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Gaśnica samochodowa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Podnośnik (lewarek)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CHARAKTERYSTYKA ZABUDOWY  ŚMIECIARKI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Zabudowa skrzyniowa z urządzeniem załadowczym tylnym,przeznaczona do zbierania stałych odpadów gromadzonych w pojemnikach o pojemności od SM 80 do SM 1100, oraz odpadów wielogabarytowych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Zabudowa o przekroju poprzecznym prostokątnym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Objętość kosza zasypowego min. 2,0 m3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Wanna załadowcza wykonana z blachy o grubości dna min. 8 mm., boki o grubości min 4 mm.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Pojemność zabudowy min 22 m</w:t>
            </w:r>
            <w:r>
              <w:rPr>
                <w:rFonts w:eastAsia="Times New Roman" w:cs="Times New Roman" w:ascii="Arial" w:hAnsi="Arial"/>
              </w:rPr>
              <w:t>³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Sterowanie funkcjami aparatu zasypowego po obu bokach odwłoka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636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  <w:p>
            <w:pPr>
              <w:pStyle w:val="Normal"/>
              <w:spacing w:lineRule="auto" w:line="288" w:before="0" w:after="200"/>
              <w:jc w:val="both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</w:rPr>
              <w:t>Sterowanie funkcjami zespołu prasy na prawym boku odwłoka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spacing w:lineRule="auto" w:line="288" w:before="0" w:after="2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Sterowanie podnoszeniem odwłoka na lewym boku zabudowy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spacing w:lineRule="auto" w:line="288" w:before="0" w:after="2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Stopień zagęszczenia odpadów min. 6:1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Dno skrzyni ładunkowej wykonane z blachy ze stali o podwyższonej odporności na ścieranie o grubości zalecanej przez producenta zabudowy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Urządzenie załadowcze do współpracy z pojemnikami o pojemności od 120 – 1100 l na odpady komunalne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653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Mechanizm zgniatania jarzmowy.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653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Wymagania dotyczące systemu wagowego z identyfikacją pojemników RFID oraz systemu rejestracji obrazu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653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1.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Pojazd ma być wyposażony w system monitoringu położenia pojazdu umożliwiający identyfikację i rejestrację lokalizacji pojazdu, oparty o dowolną z dostępnych usług nawigacji satelitarnej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653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2.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Monitoring lokalizacji pojazdu rejestrował lokalizację pojazdu nie rzadziej niż co 50 m i 15 sekund, oraz rejestrował datę i czas pomiaru położenia pojazdu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653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Nie dopuszczalność wyłączenia systemu monitoringu położenia pojazdu lub spowodowania zaprzestania jego pracy podczas realizacji trasy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653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Wymagania dotyczące automatycznego systemu identyfikacji RFID pojemników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653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1.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System musi zapewniać identyfikację pojemników za pomocą anten RFID, każdy ważony pojemnik powinien być automatycznie identyfikowany przez rejestrację identyfikatora zamontowanego na pojemniku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653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2.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System musi umożliwiać identyfikację wszystkich standardowych pojemników od 120 l do 1100 l pojemności, zarówno plastikowych jak i metalowych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653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2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Wymagany stopień ochrony środowiskowej komponentów systemu to IP67 lub wyższy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653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System RFID musi gwarantować brak wzajemnego zakłócania się wszystkich podłączonych anten podczas pracy systemu .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653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24"/>
                <w:szCs w:val="24"/>
              </w:rPr>
              <w:t>System RFID musi powiadomić załogę o: odczycie RFID z trasówki, braku odczytu RFID podczas wykonywania zasypu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653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Wymagania do dynamicznego, automatycznego systemu wagowego dla pojazdu bezpyłowego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653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1.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waga automatyczna dla pojedynczych pojemników : komputer wagowy, komórki pomiarowe, czujniki wyzwalające okablowanie łączące czujniki z komputerem, elementy mocujące. Podstawową częścią składową systemu jest komputer wagowy, do którego podłączone zostaną sygnały z czujników pomiarowych oraz pomocniczych czujników wyzwalających. Ilość i typ czujników wyzwalających niezbędnych do prawidłowej pracy systemu wagowego niezależnie od typu urządzenia załadowczego zobowiązany jest określić Wykonawca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653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2.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Arial" w:hAnsi="Arial"/>
              </w:rPr>
              <w:t>System dostosowany do urządzenia z zasypem tylnym z grzebieniem umocowanym na belce poprzecznej i ramionach składanych do pojemników o objętości od 120 l do 1100 l, ważenie pojemnika odbywa się w czasie procesu opróżniania pojemnika przez zasyp, bez potrzeby jego przerywania w celu osiągnięcia pomiaru wagi oraz bez konieczności wydłużania cyklu opróżniania pojemnika.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653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System spełnia wymagania CE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653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4.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W przypadku jednoczesnego opróżniania więcej niż jednego pojemnika (o ile zasyp na to pozwala) system wagowy wskazuje pomiar masy odpadów odebranych z każdego pojemnika osobno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653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5.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Arial" w:hAnsi="Arial"/>
              </w:rPr>
              <w:t>stopień ochrony środowiskowej komponentów systemu to IP66 lub wyższy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653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Dokładność pomiaru systemu wagowego nie gorsza niż :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eastAsia="Symbol" w:cs="Symbol" w:ascii="Arial" w:hAnsi="Arial"/>
              </w:rPr>
              <w:t>-</w:t>
            </w:r>
            <w:r>
              <w:rPr>
                <w:rFonts w:ascii="Arial" w:hAnsi="Arial"/>
              </w:rPr>
              <w:t xml:space="preserve"> przy załadunku pojemników dwukołowych wymaga się parametrów &lt; 2 kg</w:t>
            </w:r>
          </w:p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eastAsia="Symbol" w:cs="Symbol" w:ascii="Arial" w:hAnsi="Arial"/>
              </w:rPr>
              <w:t>-</w:t>
            </w:r>
            <w:r>
              <w:rPr>
                <w:rFonts w:ascii="Arial" w:hAnsi="Arial"/>
              </w:rPr>
              <w:t xml:space="preserve"> przy załadunku pojemników czterokołowych wymaga się parametrów &lt; 5 kg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653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Czujniki obciążenia wykonane ze stali nierdzewnej (bez aluminium)i odporne na działanie środków chemicznych stosowanych do utrzymania dróg oraz obecnych w odbieranych odpadach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653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8.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System wagowy uwzględnia możliwość 100 % przeciążenia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653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9.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Arial" w:hAnsi="Arial"/>
              </w:rPr>
              <w:t>System wagowy posiada wewnętrzny zegar z datą i godziną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653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10.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System wagowy uwzględnia możliwość 100 % przeciążenia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653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11.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System wagowy posiada wewnętrzny zegar z datą i godziną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653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12.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System wagowy posiada wyświetlacz na którym są wyświetlane aktualne wskazania zegara wewnętrznego oraz wartość ostatniego ważenia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653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13.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System wagowy posiada pamięć wewnętrzną pozwalającą na przechowywanie informacji o co najmniej 10 000 ostatnich ważeniach z możliwością jej prostego odczytania w komputerze klasy PC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653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14.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Arial" w:hAnsi="Arial"/>
              </w:rPr>
              <w:t>W pamięci o której mowa wyżej przechowywane muszą być co najmniej informacje o dacie i godzinie wykonania ważenia, unikalny identyfikator ważenia (np. kolejny numer) wartość netto ważenia oraz informacja pozwalająca ustalić w jakim trybie pracował system wagowy, brak zasilania wagi nie wpływa na zawartość pamięci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653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15.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System wagowy, ze wszystkimi składowymi, tj. wymienioną pamięcią wewnętrzną posiada certyfikat badania typu UE zgodnie z Dyrektywą Parlamentu Europejskiego i Rady 2014/32/UE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653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Wymagania systemu rejestracji obrazu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653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1.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</w:rPr>
              <w:t>System rejestracji obrazu pozwala na podłączenie 4 kamer (przód, tył, boki)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653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2.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Każda kamera posiada stopień ochrony środowiskowej IP65 lub wyższy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653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</w:rPr>
              <w:t>Możliwość rejestracji w nocy/przy słabych warunkach oświetleniowych.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653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4.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</w:rPr>
              <w:t>System rejestracji obrazu musi posiadać bufor pamięci pozwalający na obsługę przypadku, gdy pojazd znajdzie się w obszarze o zasięgu sieci GSM nie pozwalającym na przesyłanie do systemu informatycznego rejestrowanego materiału na bieżąco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653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5.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</w:rPr>
              <w:t>Montaż kamer na pojeździe oraz ich kąt widzenia muszą pozwalać na rejestrację obrazu z pełnym pokryciem otoczenia pojazdu, z możliwością analizy sytuacji związanej z procesem odbioru odpadów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653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6.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</w:rPr>
              <w:t>Wymaga się by system rejestrował obraz z każdej sekundy pracy pojazdu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653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7.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</w:rPr>
              <w:t>Rozdzielczość rejestrowanego obrazu nie mniejsza niż FHD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  <w:tr>
        <w:trPr>
          <w:trHeight w:val="653" w:hRule="atLeast"/>
        </w:trPr>
        <w:tc>
          <w:tcPr>
            <w:tcW w:w="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8.</w:t>
            </w:r>
          </w:p>
        </w:tc>
        <w:tc>
          <w:tcPr>
            <w:tcW w:w="7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</w:rPr>
              <w:t>Rejestrowany obraz musi posiadać naniesioną informację o dacie i czasie (godzina, minuta, sekunda) rejestracji każdej klatki obrazu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200"/>
              <w:rPr/>
            </w:pPr>
            <w:r>
              <w:rPr/>
            </w:r>
          </w:p>
        </w:tc>
      </w:tr>
    </w:tbl>
    <w:p>
      <w:pPr>
        <w:pStyle w:val="EndnoteText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Standard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Standard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Standard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Standard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Standard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Standard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Standard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Standard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Standard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Standard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Standard"/>
        <w:ind w:hanging="0" w:left="300"/>
        <w:rPr>
          <w:rFonts w:ascii="Arial" w:hAnsi="Arial" w:cs="Arial"/>
        </w:rPr>
      </w:pPr>
      <w:r>
        <w:rPr>
          <w:rFonts w:cs="Arial" w:ascii="Arial" w:hAnsi="Arial"/>
          <w:sz w:val="20"/>
        </w:rPr>
        <w:t xml:space="preserve">............................dn.......................                 </w:t>
      </w:r>
      <w:r>
        <w:rPr>
          <w:rFonts w:cs="Arial" w:ascii="Arial" w:hAnsi="Arial"/>
          <w:sz w:val="20"/>
          <w:szCs w:val="20"/>
        </w:rPr>
        <w:t>…………</w:t>
      </w:r>
      <w:r>
        <w:rPr>
          <w:rFonts w:cs="Arial" w:ascii="Arial" w:hAnsi="Arial"/>
          <w:color w:val="000000"/>
          <w:sz w:val="20"/>
          <w:szCs w:val="20"/>
        </w:rPr>
        <w:t>……….......................................……</w:t>
      </w:r>
    </w:p>
    <w:p>
      <w:pPr>
        <w:pStyle w:val="Standard"/>
        <w:ind w:hanging="0" w:left="354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  <w:t>Podpis i pieczęć imienna</w:t>
      </w:r>
    </w:p>
    <w:p>
      <w:pPr>
        <w:pStyle w:val="Standard"/>
        <w:ind w:hanging="0" w:left="3540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upoważnionego przedstawiciela</w:t>
      </w:r>
    </w:p>
    <w:p>
      <w:pPr>
        <w:pStyle w:val="Normal"/>
        <w:tabs>
          <w:tab w:val="clear" w:pos="708"/>
          <w:tab w:val="left" w:pos="3690" w:leader="none"/>
        </w:tabs>
        <w:ind w:hanging="0" w:left="3540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Wykonawcy</w:t>
      </w:r>
    </w:p>
    <w:p>
      <w:pPr>
        <w:pStyle w:val="Normal"/>
        <w:tabs>
          <w:tab w:val="clear" w:pos="708"/>
          <w:tab w:val="left" w:pos="3690" w:leader="none"/>
        </w:tabs>
        <w:spacing w:before="0" w:after="200"/>
        <w:ind w:hanging="0" w:left="142"/>
        <w:rPr/>
      </w:pPr>
      <w:r>
        <w:rPr>
          <w:rFonts w:eastAsia="Times New Roman" w:cs="Arial" w:ascii="Arial" w:hAnsi="Arial"/>
          <w:b/>
          <w:bCs w:val="false"/>
          <w:sz w:val="18"/>
          <w:szCs w:val="18"/>
          <w:lang w:eastAsia="pl-PL"/>
        </w:rPr>
        <w:t>*</w:t>
      </w:r>
      <w:bookmarkStart w:id="0" w:name="_Toc59452896"/>
      <w:r>
        <w:rPr>
          <w:rFonts w:eastAsia="Times New Roman" w:cs="Arial" w:ascii="Arial" w:hAnsi="Arial"/>
          <w:b/>
          <w:bCs w:val="false"/>
          <w:sz w:val="16"/>
          <w:szCs w:val="16"/>
          <w:lang w:eastAsia="pl-PL"/>
        </w:rPr>
        <w:t>niepotrzebne skreśli</w:t>
      </w:r>
      <w:bookmarkEnd w:id="0"/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swiss"/>
    <w:pitch w:val="variable"/>
  </w:font>
  <w:font w:name="Bookman Old Style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52024594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52024594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uiPriority w:val="99"/>
    <w:semiHidden/>
    <w:qFormat/>
    <w:rsid w:val="00a410a5"/>
    <w:rPr/>
  </w:style>
  <w:style w:type="character" w:styleId="TekstpodstawowywcityZnak" w:customStyle="1">
    <w:name w:val="Tekst podstawowy wcięty Znak"/>
    <w:basedOn w:val="DefaultParagraphFont"/>
    <w:qFormat/>
    <w:rsid w:val="00a410a5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Normal"/>
    <w:link w:val="StopkaZnak"/>
    <w:uiPriority w:val="99"/>
    <w:semiHidden/>
    <w:unhideWhenUsed/>
    <w:rsid w:val="00a410a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a410a5"/>
    <w:pPr>
      <w:spacing w:before="0" w:after="200"/>
      <w:ind w:hanging="0" w:left="720"/>
      <w:contextualSpacing/>
    </w:pPr>
    <w:rPr/>
  </w:style>
  <w:style w:type="paragraph" w:styleId="BodyTextIndented">
    <w:name w:val="Body Text, Indented"/>
    <w:basedOn w:val="Normal"/>
    <w:link w:val="TekstpodstawowywcityZnak"/>
    <w:qFormat/>
    <w:rsid w:val="00a410a5"/>
    <w:pPr>
      <w:suppressAutoHyphens w:val="true"/>
      <w:spacing w:lineRule="auto" w:line="240" w:before="0" w:after="120"/>
      <w:ind w:hanging="0" w:left="283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Zawartoramki">
    <w:name w:val="Zawartość ramki"/>
    <w:basedOn w:val="Normal"/>
    <w:qFormat/>
    <w:pPr/>
    <w:rPr/>
  </w:style>
  <w:style w:type="paragraph" w:styleId="EndnoteText">
    <w:name w:val="endnote text"/>
    <w:basedOn w:val="Normal"/>
    <w:pPr/>
    <w:rPr/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3270B-104D-48EC-A8D8-8AB70A1CA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Application>LibreOffice/24.8.0.3$Windows_X86_64 LibreOffice_project/0bdf1299c94fe897b119f97f3c613e9dca6be583</Application>
  <AppVersion>15.0000</AppVersion>
  <Pages>6</Pages>
  <Words>1148</Words>
  <Characters>7271</Characters>
  <CharactersWithSpaces>8234</CharactersWithSpaces>
  <Paragraphs>212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2016-11-16T09:05:00Z</dcterms:created>
  <dc:creator>Katarzyna</dc:creator>
  <dc:description/>
  <dc:language>pl-PL</dc:language>
  <cp:lastModifiedBy/>
  <dcterms:modified xsi:type="dcterms:W3CDTF">2026-05-12T12:54:10Z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