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Załącznik nr 6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b/>
          <w:bCs/>
        </w:rPr>
        <w:t xml:space="preserve">OPIS PRZEDMIOTU ZAMÓWIENIA ZAKUP I DOSTAWA UŻYWANEJ ŚMIECIARKI DO ZBIÓRKI ODPADÓW KOMUNALNYCH ZMIESZANYCH I SELEKTYWNIE ZBIERANYCH </w:t>
      </w:r>
      <w:r>
        <w:rPr>
          <w:rFonts w:cs="Arial" w:ascii="Arial" w:hAnsi="Arial" w:asciiTheme="majorHAnsi" w:cstheme="majorHAnsi" w:hAnsiTheme="majorHAnsi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ascii="Arial" w:hAnsi="Arial" w:asciiTheme="majorHAnsi" w:cstheme="majorHAnsi" w:hAnsiTheme="majorHAnsi"/>
          <w:b/>
          <w:bCs/>
        </w:rPr>
        <w:t>I. Podwozie: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 xml:space="preserve">1.1. Podwozie trzy osiowe, wyprodukowane w min. 2023r., </w:t>
      </w:r>
      <w:r>
        <w:rPr>
          <w:rFonts w:cs="Arial" w:ascii="Arial" w:hAnsi="Arial" w:asciiTheme="majorHAnsi" w:cstheme="majorHAnsi" w:hAnsiTheme="majorHAnsi"/>
          <w:u w:val="single"/>
        </w:rPr>
        <w:t>z maksymalnym przebiegiem do 30 000 km.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1.2. DMC pojazdu 26000-28000 kg.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1.3. Przystosowane do zabudowy z zasypem tylnym.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1.4. Rozstaw osi pojazdu 3700-4000 mm.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1.5. Zawieszenie: przód resory piórowe, tył pneumatyczne.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1.6. Stabilizator osi przedniej.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1.7. Blokada mechanizmu różnicowego osi napędowej.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1.8. Pojazd wyposażony w hamulce tarczowe.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1.9. System kontroli trakcji ESP.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1.10. Dopuszczalny nacisk osi przedniej min 8000 kg.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1.11. Dopuszczalny nacisk osi napędowej min 11500 kg.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1.12. Dopuszczalny nacisk osi wleczonej min 7500 kg.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1.13. Nowe opony na felgach stalowych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1.14. Wszystkie koła zabezpieczone osłonami błotnymi (chlapacze).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1.15. Hamulec postojowy.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1.16. System ostrzegania przed kolizją z przodu z hamowaniem awaryjnym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1.17. Silnik o zapłonie samoczynnym min 7500 cm</w:t>
      </w:r>
      <w:r>
        <w:rPr>
          <w:rFonts w:cs="Arial" w:ascii="Arial" w:hAnsi="Arial" w:asciiTheme="majorHAnsi" w:cstheme="majorHAnsi" w:hAnsiTheme="majorHAnsi"/>
          <w:vertAlign w:val="superscript"/>
        </w:rPr>
        <w:t>3</w:t>
      </w:r>
      <w:r>
        <w:rPr>
          <w:rFonts w:cs="Arial" w:ascii="Arial" w:hAnsi="Arial" w:asciiTheme="majorHAnsi" w:cstheme="majorHAnsi" w:hAnsiTheme="majorHAnsi"/>
        </w:rPr>
        <w:t>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1.18. Moc silnika min 290 KM.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1.19. Norma emisji spalin Euro 6.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1.20. Hamulec silnikowy klapowy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 xml:space="preserve">1.21. Przystawka do odbioru mocy od silnikowa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1.22. Skrzynia biegów automatyczna lub zautomatyzowana , min 12 biegowa.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1.23. Zbiornik paliwa min 200 l, z zamykanym na kluczyk korkiem.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1.24. Zbiornik AdBlue min 25 l.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1.25. Zderzak narożniki stalowe.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1.26. Kabina dzienna 3 osobowa w kolorze białym.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1.27. 2 kluczyki z pilotem.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1.28. System zamków z zamkiem centralnym.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1.29. Fotel kierowcy amortyzowany.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1.30. Fotel środkowy z pasem bezpieczeństwa 3 punktowym.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1.31. Sygnalizator ostrzegawczy jazdy wstecz.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1.32. Radio z wyjściem USB.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1.33. Klimatyzacja.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1.34. Złącze pneumatyczne w kabinie kierowcy.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1.35. Akumulator 2 x 12V min 180Ah.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1.36. Światła do jazdy dziennej LED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1.37. Światła przeciwmgielne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1.38. Ogranicznik prędkości do 90km/h.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1.39. Ogranicznik prędkości cofania V max 30km/h.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1.40. Osłony przeciw najazdowe boczne.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1.41. Wyświetlacz z komputerem pokładowym w języku polskim.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1.42. Tachograf z godnie z obowiązującymi przepisami.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1.43. Posiadanie deklaracji zgodności dla podwozia CE.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1.44. Instrukcja obsługi w języku polskim.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1.45. Podnośnik min 12 t teleskopowy.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1.46. 2 kliny pod koła, gaśnica, trójkąt ostrzegawczy, apteczka, podstawowe narzędzia do obsługi pojazdu.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1.47. Pistolet na sprężone powietrze z elastycznym przewodem.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1.48. Komplet gumowych dywaników.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1.49. Podgrzewana szyba przednia. 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1.50. Komplet pokrowców na siedzenie.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1.51. Podświetlane stopnie wejściowe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1.52. Belka świetlna ostrzegawcza kolor pomarańczowy, na kabinie.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cstheme="majorHAnsi" w:ascii="Arial" w:hAnsi="Arial"/>
          <w:b/>
          <w:bCs/>
        </w:rPr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b/>
          <w:bCs/>
        </w:rPr>
        <w:t>II. Zabudowa:</w:t>
      </w:r>
      <w:r>
        <w:rPr>
          <w:rFonts w:cs="Arial" w:ascii="Arial" w:hAnsi="Arial" w:asciiTheme="majorHAnsi" w:cstheme="majorHAnsi" w:hAnsiTheme="majorHAnsi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2.1. Zabudowa skrzyniowa z urządzeniem załadowczym tylnym, przeznaczona do zbierania odpadów stałych gromadzonych w pojemnikach komunalnych, surowców wtórnych o pojemności od SM 80 do SM 1100, oraz odpadów wielkogabarytowych.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2.2. Zabudowa połączona elastycznie z podwoziem.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2.3. Skrzynia ładunkowa o owalnych kształtach, każda ze ścian zbiornika wykonana z pojedynczego jednolitego arkusza stali wysokogatunkowej , bez spawów.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2.4. Podłoga skrzyni ładunkowej płaska lub owalna , wykonana ze stali o grubości min 6mm.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2.5. Pojemność zabudowy min 22 m</w:t>
      </w:r>
      <w:r>
        <w:rPr>
          <w:rFonts w:cs="Arial" w:ascii="Arial" w:hAnsi="Arial" w:asciiTheme="majorHAnsi" w:cstheme="majorHAnsi" w:hAnsiTheme="majorHAnsi"/>
          <w:vertAlign w:val="superscript"/>
        </w:rPr>
        <w:t>3</w:t>
      </w:r>
      <w:r>
        <w:rPr>
          <w:rFonts w:cs="Arial" w:ascii="Arial" w:hAnsi="Arial" w:asciiTheme="majorHAnsi" w:cstheme="majorHAnsi" w:hAnsiTheme="majorHAnsi"/>
        </w:rPr>
        <w:t>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2.6. Wanna załadowcza wykonana z blachy o grubości dna min 8 mm, boki o grubości min 4mm.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2.7. Objętość kosza zasypowego min 2,0 m</w:t>
      </w:r>
      <w:r>
        <w:rPr>
          <w:rFonts w:cs="Arial" w:ascii="Arial" w:hAnsi="Arial" w:asciiTheme="majorHAnsi" w:cstheme="majorHAnsi" w:hAnsiTheme="majorHAnsi"/>
          <w:vertAlign w:val="superscript"/>
        </w:rPr>
        <w:t>3</w:t>
      </w:r>
      <w:r>
        <w:rPr>
          <w:rFonts w:cs="Arial" w:ascii="Arial" w:hAnsi="Arial" w:asciiTheme="majorHAnsi" w:cstheme="majorHAnsi" w:hAnsiTheme="majorHAnsi"/>
        </w:rPr>
        <w:t>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2.8. Króciec odpływowy w wannie załadowczej z zaworem kulowym.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2.9. Mechanizm zgniatania jarzmowy.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2.10. Prowadnice płyty wypychającej umieszczone na ścianach zabudowy.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2.11. Możliwość wysunięcia płyty zgniatającej poza skrzynię ładunkową celem dokładnego oczyszczenia skrzyni z odpadów.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2.12. Urządzenie do otwierania pokryw pojemników.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2.13. Możliwość sterowania mechanizmem załadowczym w cyklu automatycznym, ciągłym oraz pojedynczym.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2.14. Możliwość sterowania urządzeniem zasypowym po obu stronach odwłoka.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2.15. Możliwość sterowania płytą wypychającą (wysuwanie i wsuwanie) ze stanowiska na zewnątrz pojazdu z boku odwłoka lub z kabiny kierowcy.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2.16. Układ uwalniania zakleszczonych pojemników.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2.17. Minimum dwa wyłączniki bezpieczeństwa (STOP awaryjny) umieszczone po obu stronach zabudowy, jeden w kabinie kierowcy.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2.18. Automatyczne sterowanie obrotami silnika w zależności od obciążenia układu hydraulicznego.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2.19. Stopień zagęszczenia odpadów 6:1.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2.20. Możliwość odbierania odpadów wielkogabarytowych.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2.21. Krawędź kosza zasypowego z otwieraną klapą.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2.22. Odwłok z automatyczną blokadą i odblokowywaniem.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2.23. Dwa stopnie dla ładowaczy z możliwością ograniczenia prędkości do 30 km/h, uniemożliwienie manewru cofania pojazdu.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2.24. Dwa siłowniki prasy zgniatającej.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2.25. Uszczelka zamontowana pomiędzy odwłokiem , a skrzynią ładunkową.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2.26. Rura odpływowa z zaworem na BIO odcieki.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2.27. Kamera umieszczona z tylu zabudowy oraz monitor w kabinie kierowcy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cstheme="majorHAnsi" w:ascii="Arial" w:hAnsi="Arial"/>
          <w:b/>
          <w:bCs/>
        </w:rPr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ascii="Arial" w:hAnsi="Arial" w:asciiTheme="majorHAnsi" w:cstheme="majorHAnsi" w:hAnsiTheme="majorHAnsi"/>
          <w:b/>
          <w:bCs/>
        </w:rPr>
        <w:t>III. Wymagania dotyczące systemu wagowego z identyfikacją pojemników RFID oraz systemu rejestracji obrazu: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3.1. Pojazd ma być wyposażony w system monitoringu położenia pojazdu umożliwiający identyfikację i rejestrację lokalizacji pojazdu, oparty o dowolną z dostępnych usług nawigacji satelitarnej.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3.2. Zamawiający wymaga, aby system monitoringu lokalizacji pojazdu rejestrował lokalizację pojazdu nie rzadziej niż co 50 m i 15 sekund, oraz rejestrował datę i czas pomiaru położenia pojazdu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3.3. System powinien rejestrować chwilowy błąd wyznaczania lokalizacji wyrażany w metrach.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3.4. Zamawiający nie dopuszcza wyłączenia systemu monitoringu położenia pojazdu lub spowodowania zaprzestania jego pracy podczas realizacji trasy.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3.5. Zamawiający dopuszcza brak rejestracji położenia.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spacing w:val="-2"/>
        </w:rPr>
      </w:pPr>
      <w:r>
        <w:rPr>
          <w:rFonts w:cs="Arial" w:cstheme="majorHAnsi" w:ascii="Arial" w:hAnsi="Arial"/>
          <w:spacing w:val="-2"/>
        </w:rPr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ascii="Arial" w:hAnsi="Arial" w:asciiTheme="majorHAnsi" w:cstheme="majorHAnsi" w:hAnsiTheme="majorHAnsi"/>
          <w:b/>
          <w:bCs/>
        </w:rPr>
        <w:t>IV. Wymagania dotyczące automatycznego systemu identyfikacji RFID pojemników: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4.1. System musi zapewniać identyfikację pojemników za pomocą anten RFID, każdy ważony pojemnik powinien być automatycznie identyfikowany przez rejestrację identyfikatora zamontowanego na pojemniku.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4.2. Dane o odczytach RFID muszą być przekazywane do Systemu Informatycznego natychmiast po wystąpieniu zdarzenia 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4.3. System radiowej identyfikacji pojemników musi pracować w oparciu o identyfikatory pracujące na częstotliwości do 135 kHz.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4.4. System musi umożliwiać identyfikację wszystkich standardowych pojemników od 120 l do 1100 l pojemności, zarówno plastikowych jak i metalowych.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4.5. Wymagany stopień ochrony środowiskowej komponentów systemu to IP67 lub wyższy.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4.6. System RFID musi gwarantować brak wzajemnego zakłócania się wszystkich podłączonych anten podczas pracy systemu 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4.7. System RFID musi powiadomić załogę o: odczycie RFID z trasówki, braku odczytu RFID podczas wykonywania zasypu.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spacing w:val="-2"/>
        </w:rPr>
      </w:pPr>
      <w:r>
        <w:rPr>
          <w:rFonts w:cs="Arial" w:cstheme="majorHAnsi" w:ascii="Arial" w:hAnsi="Arial"/>
          <w:spacing w:val="-2"/>
        </w:rPr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ascii="Arial" w:hAnsi="Arial" w:asciiTheme="majorHAnsi" w:cstheme="majorHAnsi" w:hAnsiTheme="majorHAnsi"/>
          <w:b/>
          <w:bCs/>
        </w:rPr>
        <w:t>V. Wymagania do dynamicznego, automatycznego systemu wagowego dla pojazdu bezpyłowego: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5.1. Pod pojęciem dynamicznego systemu wagowego (dalej system wagowy) należy rozumieć wagę automatyczną dla pojedynczych pojemników : komputer wagowy, komórki pomiarowe, czujniki wyzwalające, okablowanie łączące czujniki z komputerem, elementy mocujące. Podstawową częścią składową systemu jest komputer wagowy, do którego podłączone zostaną sygnały z czujników pomiarowych oraz pomocniczych czujników wyzwalających. Ilość i typ czujników wyzwalających niezbędnych do prawidłowej pracy systemu wagowego niezależnie od typu urządzenia załadowczego zobowiązany jest określić Wykonawca.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5.2. System musi być dostosowany do urządzenia z zasypem tylnym z grzebieniem umocowanym na belce poprzecznej i ramionach składanych do pojemników o objętości od 120 l do 1100 l, ważenie pojemnika odbywa się w czasie procesu opróżniania pojemnika przez zasyp, bez potrzeby jego przerywania w celu osiągnięcia pomiaru wagi oraz bez konieczności wydłużania cyklu opróżniania pojemnika.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5.3. System musi spełniać wymagania CE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5.4. W przypadku jednoczesnego opróżniania więcej niż jednego pojemnika (o ile zasyp na to pozwala) system wagowy wskazuje pomiar masy odpadów odebranych z każdego pojemnika osobno.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5.5. Wymagany stopień ochrony środowiskowej komponentów systemu to IP66 lub wyższy.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5.6. System musi rejestrować masę odpadów dla każdego z uruchomień zasypu oddzielnie dla każdego pojemnika.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5.7. Dokładność pomiaru systemu wagowego nie gorsza niż :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eastAsia="Symbol" w:cs="Arial" w:ascii="Arial" w:hAnsi="Arial" w:asciiTheme="majorHAnsi" w:cstheme="majorHAnsi" w:hAnsiTheme="majorHAnsi"/>
        </w:rPr>
        <w:t>-</w:t>
      </w:r>
      <w:r>
        <w:rPr>
          <w:rFonts w:cs="Arial" w:ascii="Arial" w:hAnsi="Arial" w:asciiTheme="majorHAnsi" w:cstheme="majorHAnsi" w:hAnsiTheme="majorHAnsi"/>
        </w:rPr>
        <w:t xml:space="preserve"> przy załadunku pojemników dwukołowych wymaga się parametrów &lt; 2 kg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eastAsia="Symbol" w:cs="Arial" w:ascii="Arial" w:hAnsi="Arial" w:asciiTheme="majorHAnsi" w:cstheme="majorHAnsi" w:hAnsiTheme="majorHAnsi"/>
        </w:rPr>
        <w:t>-</w:t>
      </w:r>
      <w:r>
        <w:rPr>
          <w:rFonts w:cs="Arial" w:ascii="Arial" w:hAnsi="Arial" w:asciiTheme="majorHAnsi" w:cstheme="majorHAnsi" w:hAnsiTheme="majorHAnsi"/>
        </w:rPr>
        <w:t xml:space="preserve"> przy załadunku pojemników czterokołowych wymaga się parametrów &lt; 5 kg 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5.8. Czujniki obciążenia są wykonane ze stali nierdzewnej (bez aluminium)i odporne na działanie środków chemicznych stosowanych do utrzymania dróg oraz obecnych w odbieranych odpadach.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5.9. System wagowy uwzględnia możliwość 100 % przeciążenia.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5.10. System wagowy posiada wewnętrzny zegar z datą i godziną.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5.11. System wagowy posiada wyświetlacz na którym są wyświetlane aktualne wskazania zegara wewnętrznego oraz wartość ostatniego ważenia.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5.12. System wagowy posiada pamięć wewnętrzną pozwalającą na przechowywanie informacji o co najmniej 10 000 ostatnich ważeniach z możliwością jej prostego odczytania w komputerze klasy PC,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5.13. W pamięci o której mowa wyżej przechowywane muszą być co najmniej informacje o dacie i godzinie wykonania ważenia, unikalny identyfikator ważenia (np. kolejny numer) wartość netto ważenia oraz informacja pozwalająca ustalić w jakim trybie pracował system wagowy, brak zasilania wagi nie wpływa na zawartość pamięci.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5.14. System wagowy, ze wszystkimi składowymi, tj. wymienioną pamięcią wewnętrzną posiada certyfikat badania typu UE zgodnie z Dyrektywą Parlamentu Europejskiego i Rady 2014/32/UE 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 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</w:rPr>
      </w:pPr>
      <w:r>
        <w:rPr>
          <w:rFonts w:cs="Arial" w:ascii="Arial" w:hAnsi="Arial" w:asciiTheme="majorHAnsi" w:cstheme="majorHAnsi" w:hAnsiTheme="majorHAnsi"/>
          <w:b/>
          <w:bCs/>
        </w:rPr>
        <w:t>VI. Wymagania systemu rejestracji obrazu: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6.1. System rejestracji obrazu pozwala na podłączenie 4 kamer (przód, tył, boki).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6.2. Każda kamera posiada stopień ochrony środowiskowej IP65 lub wyższy.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6.3. Możliwość rejestracji w nocy/przy słabych warunkach oświetleniowych.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6.4. System rejestracji obrazu musi posiadać bufor pamięci pozwalający na obsługę przypadku, gdy pojazd znajdzie się w obszarze o zasięgu sieci GSM nie pozwalającym na przesyłanie do systemu informatycznego rejestrowanego materiału na bieżąco.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6.5. Montaż kamer na pojeździe oraz ich kąt widzenia muszą pozwalać na rejestrację obrazu z pełnym pokryciem otoczenia pojazdu, z możliwością analizy sytuacji związanej z procesem odbioru odpadów.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6.6. Wymaga się by system rejestrował obraz z każdej sekundy pracy pojazdu.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6.7. Rozdzielczość rejestrowanego obrazu nie mniejsza niż FHD.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</w:rPr>
        <w:t>6.8. Rejestrowany obraz musi posiadać naniesioną informację o dacie i czasie (godzina, minuta, sekunda) rejestracji każdej klatki obrazu.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6.9. Rejestrowany obraz musi być częścią danych archiwalnych pojazdu, na którym zainstalowano system rejestracji obrazu wraz z pozostałymi elementami Infrastruktury Technicznej.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  <w:b/>
          <w:bCs/>
          <w:spacing w:val="-2"/>
        </w:rPr>
      </w:pPr>
      <w:r>
        <w:rPr>
          <w:rFonts w:cs="Arial" w:cstheme="majorHAnsi" w:ascii="Arial" w:hAnsi="Arial"/>
          <w:b/>
          <w:bCs/>
          <w:spacing w:val="-2"/>
        </w:rPr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b/>
          <w:bCs/>
          <w:spacing w:val="-2"/>
        </w:rPr>
        <w:t>VII. Gwarancja</w:t>
      </w:r>
      <w:r>
        <w:rPr>
          <w:rFonts w:cs="Arial" w:ascii="Arial" w:hAnsi="Arial" w:asciiTheme="majorHAnsi" w:cstheme="majorHAnsi" w:hAnsiTheme="majorHAnsi"/>
          <w:spacing w:val="-2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7.1. Okres gwarancji minimum 3 lata na całość pojazdu liczony od dnia przekazania pojazdu zamawiającemu.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 xml:space="preserve">7.2. Wykonawca zapewnia bezpłatne serwisowanie przedmiotu umowy w okresie gwarancji. Serwis gwarancyjny stacjonarny będzie znajdował się w odległości maksymalnej 75 km od siedziby Zamawiającego. Wykonawca we własnym zakresie zapewnia transport pojazdu do serwisu.  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 xml:space="preserve">7.3. Bezpłatne naprawy obejmują koszty wszystkich zużytych materiałów i części zamiennych a także koszty robocizny oraz koszty przeglądów serwisowych i napraw bieżących, które nie wynikły z winy Zamawiającego.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 xml:space="preserve">7.4. Wykonawca zobowiązany jest w okresie trwania gwarancji: − do naprawy wady fizycznej przedmiotu umowy, − powstanie oraz usunięcie wad przedmiotu umowy, musi być potwierdzone protokolarnie. Wymagane warunki napraw gwarancyjnych: zgodnie z Umową stanowiącą zał. nr …… do SWZ.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7.5. O powstałych wadach i usterkach przedmiotu umowy Zamawiający w celu realizacji przysługujących mu uprawnień zawiadamia Wykonawcę: telefonicznie, pisemnie lub pocztą elektroniczną.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7.6. Wykonawca zobowiązany jest do bezpłatnego usunięcia wszelkich usterek powstałych lub ujawnionych w okresie trwania gwarancji.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b/>
          <w:bCs/>
          <w:spacing w:val="-2"/>
        </w:rPr>
        <w:t xml:space="preserve">VIII. Pozostałe wymagania: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 xml:space="preserve">8.1. Wykonawca przedłoży w trakcie odbioru komplet niezbędnych dokumentów do zarejestrowania pojazdu na terenie RP. </w:t>
      </w:r>
    </w:p>
    <w:p>
      <w:pPr>
        <w:pStyle w:val="Normal"/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 xml:space="preserve">8.2. Pojazd dostarczyć do bazy transportowej Zakładu Gospodarki Komunalnej Sp. z o.o. ul. Stefana Batorego 24, 34 – 120 Andrychów, w godzinach 07:00 – 12:00. Koszt dostawy do siedziby Zamawiającego pokrywa Wykonawca. </w:t>
      </w:r>
    </w:p>
    <w:p>
      <w:pPr>
        <w:pStyle w:val="Normal"/>
        <w:tabs>
          <w:tab w:val="clear" w:pos="708"/>
          <w:tab w:val="left" w:pos="1357" w:leader="none"/>
        </w:tabs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 xml:space="preserve">8.3. Wykonawca w dniu dostawy zobowiązany jest do przeprowadzeni nieodpłatnego szkolenia pracowników Zamawiającego z zakresu obsługi  i eksploatacji pojazdu oraz zainstalowanych                w nim urządzeń. </w:t>
      </w:r>
    </w:p>
    <w:p>
      <w:pPr>
        <w:pStyle w:val="Normal"/>
        <w:tabs>
          <w:tab w:val="clear" w:pos="708"/>
          <w:tab w:val="left" w:pos="1357" w:leader="none"/>
        </w:tabs>
        <w:spacing w:lineRule="auto" w:line="24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spacing w:val="-2"/>
        </w:rPr>
        <w:t>8.</w:t>
      </w:r>
      <w:r>
        <w:rPr>
          <w:rFonts w:cs="Arial" w:ascii="Arial" w:hAnsi="Arial" w:asciiTheme="majorHAnsi" w:cstheme="majorHAnsi" w:hAnsiTheme="majorHAnsi"/>
          <w:color w:val="auto"/>
          <w:spacing w:val="-2"/>
        </w:rPr>
        <w:t xml:space="preserve">4. </w:t>
      </w:r>
      <w:r>
        <w:rPr>
          <w:rFonts w:cs="Arial" w:ascii="Arial" w:hAnsi="Arial" w:asciiTheme="majorHAnsi" w:cstheme="majorHAnsi" w:hAnsiTheme="majorHAnsi"/>
        </w:rPr>
        <w:t>Wykonawca spełni warunek udziału w postępowaniu w zakresie zdolności technicznej lub zawodowej, jeżeli wykaże, że wykonał co najmniej 1 dostawę zbliżoną przedmiotem do przedmiotu zamówienia o wartości co najmniej 600.000 zł netto, w okresie ostatnich trzech lat przed upływem terminu składania ofert w postępowaniu, a jeżeli okres prowadzenia działalności jest krótszy – w tym okresie, wraz z podaniem ich wartości, przedmiotu, dat wykonania i podmiotów, na rzecz których dostawy zostały wykonane.</w:t>
      </w:r>
    </w:p>
    <w:p>
      <w:pPr>
        <w:pStyle w:val="Normal"/>
        <w:tabs>
          <w:tab w:val="clear" w:pos="708"/>
          <w:tab w:val="left" w:pos="1357" w:leader="none"/>
        </w:tabs>
        <w:spacing w:lineRule="auto" w:line="240"/>
        <w:jc w:val="both"/>
        <w:rPr>
          <w:rFonts w:ascii="Arial" w:hAnsi="Arial" w:cs="Arial" w:asciiTheme="majorHAnsi" w:cstheme="majorHAnsi" w:hAnsiTheme="majorHAnsi"/>
          <w:color w:val="auto"/>
          <w:spacing w:val="-2"/>
        </w:rPr>
      </w:pPr>
      <w:r>
        <w:rPr>
          <w:rFonts w:cs="Arial" w:ascii="Arial" w:hAnsi="Arial" w:asciiTheme="majorHAnsi" w:cstheme="majorHAnsi" w:hAnsiTheme="majorHAnsi"/>
          <w:spacing w:val="-2"/>
        </w:rPr>
        <w:t>8.</w:t>
      </w:r>
      <w:r>
        <w:rPr>
          <w:rFonts w:cs="Arial" w:ascii="Arial" w:hAnsi="Arial" w:asciiTheme="majorHAnsi" w:cstheme="majorHAnsi" w:hAnsiTheme="majorHAnsi"/>
          <w:color w:val="auto"/>
          <w:spacing w:val="-2"/>
        </w:rPr>
        <w:t>5. Wykonawca przedłoży Certyfikat Euro-6 dla podwozia śmieciarki.</w:t>
      </w:r>
    </w:p>
    <w:p>
      <w:pPr>
        <w:pStyle w:val="Normal"/>
        <w:tabs>
          <w:tab w:val="clear" w:pos="708"/>
          <w:tab w:val="left" w:pos="1357" w:leader="none"/>
        </w:tabs>
        <w:spacing w:lineRule="auto" w:line="240"/>
        <w:jc w:val="both"/>
        <w:rPr>
          <w:rFonts w:ascii="Arial" w:hAnsi="Arial" w:cs="Arial" w:asciiTheme="majorHAnsi" w:cstheme="majorHAnsi" w:hAnsiTheme="majorHAnsi"/>
          <w:color w:val="auto"/>
          <w:spacing w:val="-2"/>
        </w:rPr>
      </w:pPr>
      <w:r>
        <w:rPr>
          <w:rFonts w:cs="Arial" w:ascii="Arial" w:hAnsi="Arial" w:asciiTheme="majorHAnsi" w:cstheme="majorHAnsi" w:hAnsiTheme="majorHAnsi"/>
          <w:color w:val="auto"/>
          <w:spacing w:val="-2"/>
        </w:rPr>
        <w:t>8.6. Wykonawca przedłoży schemat elektryczny zabudowy śmieciarki.</w:t>
      </w:r>
    </w:p>
    <w:p>
      <w:pPr>
        <w:pStyle w:val="Normal"/>
        <w:tabs>
          <w:tab w:val="clear" w:pos="708"/>
          <w:tab w:val="left" w:pos="1357" w:leader="none"/>
        </w:tabs>
        <w:spacing w:lineRule="auto" w:line="240" w:before="0" w:after="160"/>
        <w:jc w:val="both"/>
        <w:rPr>
          <w:rFonts w:ascii="Arial" w:hAnsi="Arial" w:cs="Arial" w:asciiTheme="majorHAnsi" w:cstheme="majorHAnsi" w:hAnsiTheme="majorHAnsi"/>
        </w:rPr>
      </w:pPr>
      <w:r>
        <w:rPr>
          <w:rFonts w:cs="Arial" w:ascii="Arial" w:hAnsi="Arial" w:asciiTheme="majorHAnsi" w:cstheme="majorHAnsi" w:hAnsiTheme="majorHAnsi"/>
          <w:color w:val="auto"/>
          <w:spacing w:val="-2"/>
        </w:rPr>
        <w:t>8.7. Termin realizacji zamówienia: 30 dni od podpisania umowy.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985" w:footer="708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swiss"/>
    <w:pitch w:val="variable"/>
  </w:font>
  <w:font w:name="Aptos Display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B0F0"/>
      </w:pBdr>
      <w:jc w:val="center"/>
      <w:rPr>
        <w:sz w:val="18"/>
        <w:szCs w:val="18"/>
      </w:rPr>
    </w:pPr>
    <w:r>
      <w:rPr>
        <w:sz w:val="18"/>
        <w:szCs w:val="18"/>
      </w:rPr>
      <w:t xml:space="preserve">Sąd Rejonowy dla Krakowa-Śródmieścia w Krakowie, XII Wydział Gospodarczy Krajowego Rejestru Sądowego KRS: 0000248524   NIP: 551-000-74-17   </w:t>
      <w:tab/>
      <w:t>Wysokość kapitału zakładowego: 18.084.000,00 ZŁ</w:t>
    </w:r>
  </w:p>
  <w:p>
    <w:pPr>
      <w:pStyle w:val="Footer"/>
      <w:jc w:val="center"/>
      <w:rPr>
        <w:color w:val="00B0F0"/>
        <w:sz w:val="18"/>
        <w:szCs w:val="18"/>
      </w:rPr>
    </w:pPr>
    <w:r>
      <w:rPr>
        <w:color w:val="00B0F0"/>
        <w:sz w:val="18"/>
        <w:szCs w:val="18"/>
      </w:rPr>
      <w:t>www.zgkandrychow.pl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B0F0"/>
      </w:pBdr>
      <w:jc w:val="center"/>
      <w:rPr>
        <w:sz w:val="18"/>
        <w:szCs w:val="18"/>
      </w:rPr>
    </w:pPr>
    <w:r>
      <w:rPr>
        <w:sz w:val="18"/>
        <w:szCs w:val="18"/>
      </w:rPr>
      <w:t xml:space="preserve">Sąd Rejonowy dla Krakowa-Śródmieścia w Krakowie, XII Wydział Gospodarczy Krajowego Rejestru Sądowego KRS: 0000248524   NIP: 551-000-74-17   </w:t>
      <w:tab/>
      <w:t>Wysokość kapitału zakładowego: 18.084.000,00 ZŁ</w:t>
    </w:r>
  </w:p>
  <w:p>
    <w:pPr>
      <w:pStyle w:val="Footer"/>
      <w:jc w:val="center"/>
      <w:rPr>
        <w:color w:val="00B0F0"/>
        <w:sz w:val="18"/>
        <w:szCs w:val="18"/>
      </w:rPr>
    </w:pPr>
    <w:r>
      <w:rPr>
        <w:color w:val="00B0F0"/>
        <w:sz w:val="18"/>
        <w:szCs w:val="18"/>
      </w:rPr>
      <w:t>www.zgkandrychow.pl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rPr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-4445</wp:posOffset>
          </wp:positionH>
          <wp:positionV relativeFrom="paragraph">
            <wp:posOffset>-15240</wp:posOffset>
          </wp:positionV>
          <wp:extent cx="681355" cy="593090"/>
          <wp:effectExtent l="0" t="0" r="0" b="0"/>
          <wp:wrapSquare wrapText="bothSides"/>
          <wp:docPr id="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B0F0"/>
        <w:sz w:val="32"/>
        <w:szCs w:val="32"/>
      </w:rPr>
      <w:t xml:space="preserve">             </w:t>
    </w:r>
    <w:r>
      <w:rPr>
        <w:color w:val="00B0F0"/>
        <w:sz w:val="32"/>
        <w:szCs w:val="32"/>
      </w:rPr>
      <w:t>Zakład Gospodarki Komunalnej sp. z o.o.</w:t>
    </w:r>
  </w:p>
  <w:p>
    <w:pPr>
      <w:pStyle w:val="Header"/>
      <w:spacing w:lineRule="auto" w:line="240" w:before="0" w:after="0"/>
      <w:rPr/>
    </w:pPr>
    <w:r>
      <w:rPr/>
      <w:t xml:space="preserve">                 </w:t>
    </w:r>
    <w:r>
      <w:rPr/>
      <w:t>Ul. Stefana Batorego 24, 34-120 Andrychów</w:t>
    </w:r>
  </w:p>
  <w:p>
    <w:pPr>
      <w:pStyle w:val="Header"/>
      <w:pBdr>
        <w:bottom w:val="single" w:sz="4" w:space="1" w:color="00B0F0"/>
      </w:pBdr>
      <w:spacing w:lineRule="auto" w:line="240" w:before="0" w:after="0"/>
      <w:rPr/>
    </w:pPr>
    <w:r>
      <w:rPr/>
      <w:t xml:space="preserve">                 </w:t>
    </w:r>
    <w:r>
      <w:rPr/>
      <w:t>Telefon: 33 875 36 61</w:t>
      <w:tab/>
      <w:t xml:space="preserve">                                   e-mail: zgk@zgkandrychow.pl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rPr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-4445</wp:posOffset>
          </wp:positionH>
          <wp:positionV relativeFrom="paragraph">
            <wp:posOffset>-15240</wp:posOffset>
          </wp:positionV>
          <wp:extent cx="681355" cy="593090"/>
          <wp:effectExtent l="0" t="0" r="0" b="0"/>
          <wp:wrapSquare wrapText="bothSides"/>
          <wp:docPr id="2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B0F0"/>
        <w:sz w:val="32"/>
        <w:szCs w:val="32"/>
      </w:rPr>
      <w:t xml:space="preserve">             </w:t>
    </w:r>
    <w:r>
      <w:rPr>
        <w:color w:val="00B0F0"/>
        <w:sz w:val="32"/>
        <w:szCs w:val="32"/>
      </w:rPr>
      <w:t>Zakład Gospodarki Komunalnej sp. z o.o.</w:t>
    </w:r>
  </w:p>
  <w:p>
    <w:pPr>
      <w:pStyle w:val="Header"/>
      <w:spacing w:lineRule="auto" w:line="240" w:before="0" w:after="0"/>
      <w:rPr/>
    </w:pPr>
    <w:r>
      <w:rPr/>
      <w:t xml:space="preserve">                 </w:t>
    </w:r>
    <w:r>
      <w:rPr/>
      <w:t>Ul. Stefana Batorego 24, 34-120 Andrychów</w:t>
    </w:r>
  </w:p>
  <w:p>
    <w:pPr>
      <w:pStyle w:val="Header"/>
      <w:pBdr>
        <w:bottom w:val="single" w:sz="4" w:space="1" w:color="00B0F0"/>
      </w:pBdr>
      <w:spacing w:lineRule="auto" w:line="240" w:before="0" w:after="0"/>
      <w:rPr/>
    </w:pPr>
    <w:r>
      <w:rPr/>
      <w:t xml:space="preserve">                 </w:t>
    </w:r>
    <w:r>
      <w:rPr/>
      <w:t>Telefon: 33 875 36 61</w:t>
      <w:tab/>
      <w:t xml:space="preserve">                                   e-mail: zgk@zgkandrychow.pl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Times New Roman"/>
      <w:color w:val="000000"/>
      <w:kern w:val="2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Nagwek2Znak" w:customStyle="1">
    <w:name w:val="Nagłówek 2 Znak"/>
    <w:basedOn w:val="DefaultParagraphFont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Nagwek3Znak" w:customStyle="1">
    <w:name w:val="Nagłówek 3 Znak"/>
    <w:basedOn w:val="DefaultParagraphFont"/>
    <w:qFormat/>
    <w:rPr>
      <w:rFonts w:eastAsia="Times New Roman" w:cs="Times New Roman"/>
      <w:color w:val="0F4761"/>
      <w:sz w:val="28"/>
      <w:szCs w:val="28"/>
    </w:rPr>
  </w:style>
  <w:style w:type="character" w:styleId="Nagwek4Znak" w:customStyle="1">
    <w:name w:val="Nagłówek 4 Znak"/>
    <w:basedOn w:val="DefaultParagraphFont"/>
    <w:qFormat/>
    <w:rPr>
      <w:rFonts w:eastAsia="Times New Roman" w:cs="Times New Roman"/>
      <w:i/>
      <w:iCs/>
      <w:color w:val="0F4761"/>
    </w:rPr>
  </w:style>
  <w:style w:type="character" w:styleId="Nagwek5Znak" w:customStyle="1">
    <w:name w:val="Nagłówek 5 Znak"/>
    <w:basedOn w:val="DefaultParagraphFont"/>
    <w:qFormat/>
    <w:rPr>
      <w:rFonts w:eastAsia="Times New Roman" w:cs="Times New Roman"/>
      <w:color w:val="0F4761"/>
    </w:rPr>
  </w:style>
  <w:style w:type="character" w:styleId="Nagwek6Znak" w:customStyle="1">
    <w:name w:val="Nagłówek 6 Znak"/>
    <w:basedOn w:val="DefaultParagraphFont"/>
    <w:qFormat/>
    <w:rPr>
      <w:rFonts w:eastAsia="Times New Roman" w:cs="Times New Roman"/>
      <w:i/>
      <w:iCs/>
      <w:color w:val="595959"/>
    </w:rPr>
  </w:style>
  <w:style w:type="character" w:styleId="Nagwek7Znak" w:customStyle="1">
    <w:name w:val="Nagłówek 7 Znak"/>
    <w:basedOn w:val="DefaultParagraphFont"/>
    <w:qFormat/>
    <w:rPr>
      <w:rFonts w:eastAsia="Times New Roman" w:cs="Times New Roman"/>
      <w:color w:val="595959"/>
    </w:rPr>
  </w:style>
  <w:style w:type="character" w:styleId="Nagwek8Znak" w:customStyle="1">
    <w:name w:val="Nagłówek 8 Znak"/>
    <w:basedOn w:val="DefaultParagraphFont"/>
    <w:qFormat/>
    <w:rPr>
      <w:rFonts w:eastAsia="Times New Roman" w:cs="Times New Roman"/>
      <w:i/>
      <w:iCs/>
      <w:color w:val="272727"/>
    </w:rPr>
  </w:style>
  <w:style w:type="character" w:styleId="Nagwek9Znak" w:customStyle="1">
    <w:name w:val="Nagłówek 9 Znak"/>
    <w:basedOn w:val="DefaultParagraphFont"/>
    <w:qFormat/>
    <w:rPr>
      <w:rFonts w:eastAsia="Times New Roman" w:cs="Times New Roman"/>
      <w:color w:val="272727"/>
    </w:rPr>
  </w:style>
  <w:style w:type="character" w:styleId="TytuZnak" w:customStyle="1">
    <w:name w:val="Tytuł Znak"/>
    <w:basedOn w:val="DefaultParagraphFont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CytatintensywnyZnak" w:customStyle="1">
    <w:name w:val="Cytat intensywny Znak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suppressLineNumbers/>
    </w:pPr>
    <w:rPr/>
  </w:style>
  <w:style w:type="paragraph" w:styleId="Title">
    <w:name w:val="Title"/>
    <w:basedOn w:val="Normal"/>
    <w:next w:val="Normal"/>
    <w:uiPriority w:val="10"/>
    <w:qFormat/>
    <w:pPr>
      <w:spacing w:lineRule="auto" w:line="240" w:before="0" w:after="80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Application>LibreOffice/25.2.7.2$Windows_X86_64 LibreOffice_project/5cbfd1ab6520636bb5f7b99185aa69bd7456825d</Application>
  <AppVersion>15.0000</AppVersion>
  <Pages>7</Pages>
  <Words>1811</Words>
  <Characters>11778</Characters>
  <CharactersWithSpaces>13649</CharactersWithSpaces>
  <Paragraphs>150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Szymon Smreczyński</dc:creator>
  <dc:description/>
  <dc:language>pl-PL</dc:language>
  <cp:lastModifiedBy/>
  <cp:lastPrinted>2026-03-26T08:46:00Z</cp:lastPrinted>
  <dcterms:modified xsi:type="dcterms:W3CDTF">2026-05-12T13:46:59Z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