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0AC83ED7" w:rsidR="00EA2E10" w:rsidRDefault="006E2F61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>
        <w:rPr>
          <w:color w:val="000000" w:themeColor="text1"/>
          <w:sz w:val="24"/>
        </w:rPr>
        <w:t>Príloha č. 5 Súťažných podkladov</w:t>
      </w:r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70B23D89" w:rsidR="00E5535C" w:rsidRPr="007538A3" w:rsidRDefault="00680240" w:rsidP="006E2F61">
      <w:pPr>
        <w:pStyle w:val="Default"/>
        <w:widowControl w:val="0"/>
        <w:ind w:left="2120" w:hanging="212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192D29">
        <w:rPr>
          <w:b/>
          <w:bCs/>
          <w:sz w:val="22"/>
          <w:szCs w:val="22"/>
        </w:rPr>
        <w:t>Račianske korzo – I. Etapa – zóna F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0534C8E6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6E2F61">
        <w:rPr>
          <w:sz w:val="22"/>
          <w:szCs w:val="22"/>
        </w:rPr>
        <w:t xml:space="preserve">Mestská časť Bratislava – Rača, </w:t>
      </w:r>
      <w:proofErr w:type="spellStart"/>
      <w:r w:rsidR="006E2F61">
        <w:rPr>
          <w:sz w:val="22"/>
          <w:szCs w:val="22"/>
        </w:rPr>
        <w:t>Kubačova</w:t>
      </w:r>
      <w:proofErr w:type="spellEnd"/>
      <w:r w:rsidR="006E2F61">
        <w:rPr>
          <w:sz w:val="22"/>
          <w:szCs w:val="22"/>
        </w:rPr>
        <w:t xml:space="preserve"> 21, 831 06 Bratislava</w:t>
      </w:r>
    </w:p>
    <w:p w14:paraId="7A0CB7EE" w14:textId="02E1C4CD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192D29">
        <w:rPr>
          <w:sz w:val="22"/>
          <w:szCs w:val="22"/>
        </w:rPr>
        <w:t>pod</w:t>
      </w:r>
      <w:r w:rsidR="006E2F61">
        <w:rPr>
          <w:sz w:val="22"/>
          <w:szCs w:val="22"/>
        </w:rPr>
        <w:t>limitná zákazka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697F" w14:textId="77777777" w:rsidR="002A3781" w:rsidRDefault="002A3781" w:rsidP="007B1277">
      <w:r>
        <w:separator/>
      </w:r>
    </w:p>
  </w:endnote>
  <w:endnote w:type="continuationSeparator" w:id="0">
    <w:p w14:paraId="721096BB" w14:textId="77777777" w:rsidR="002A3781" w:rsidRDefault="002A3781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118F" w14:textId="77777777" w:rsidR="002A3781" w:rsidRDefault="002A3781" w:rsidP="007B1277">
      <w:r>
        <w:separator/>
      </w:r>
    </w:p>
  </w:footnote>
  <w:footnote w:type="continuationSeparator" w:id="0">
    <w:p w14:paraId="5D54EE70" w14:textId="77777777" w:rsidR="002A3781" w:rsidRDefault="002A3781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6F9B" w14:textId="77777777" w:rsidR="006E2F61" w:rsidRDefault="006E2F61" w:rsidP="006E2F61">
    <w:pPr>
      <w:pStyle w:val="Hlavika"/>
    </w:pPr>
    <w:r>
      <w:t>Verejný obstarávateľ: Mestská časť Bratislava - Rača</w:t>
    </w:r>
  </w:p>
  <w:p w14:paraId="261CD1A3" w14:textId="28CC0E63" w:rsidR="007538A3" w:rsidRPr="006E2F61" w:rsidRDefault="006E2F61" w:rsidP="00192D29">
    <w:r>
      <w:rPr>
        <w:rFonts w:ascii="Arial" w:hAnsi="Arial" w:cs="Arial"/>
        <w:b/>
        <w:bCs/>
        <w:sz w:val="20"/>
      </w:rPr>
      <w:t xml:space="preserve">Predmet zákazky: </w:t>
    </w:r>
    <w:r w:rsidR="00192D29">
      <w:rPr>
        <w:rFonts w:ascii="Arial" w:hAnsi="Arial" w:cs="Arial"/>
        <w:b/>
        <w:bCs/>
        <w:sz w:val="20"/>
      </w:rPr>
      <w:t>Račianske korzo – I. Etapa – zóna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92D29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3781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3392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6E2F61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A533E"/>
    <w:rsid w:val="007B1277"/>
    <w:rsid w:val="007C23CE"/>
    <w:rsid w:val="007F2A4C"/>
    <w:rsid w:val="007F6852"/>
    <w:rsid w:val="00803573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D2198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04A"/>
    <w:rsid w:val="00D13D36"/>
    <w:rsid w:val="00D17752"/>
    <w:rsid w:val="00D21FB2"/>
    <w:rsid w:val="00D366AE"/>
    <w:rsid w:val="00D551F7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354D7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5243A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68998124-0A27-4FDD-9A2E-600EBCC24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2026-05-13T09:49:00Z</dcterms:created>
  <dcterms:modified xsi:type="dcterms:W3CDTF">2026-05-13T09:49:00Z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