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6F1765F"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950206">
        <w:rPr>
          <w:rFonts w:ascii="Verdana" w:eastAsia="Verdana" w:hAnsi="Verdana" w:cs="Verdana"/>
          <w:b/>
          <w:color w:val="000000"/>
        </w:rPr>
        <w:t>4</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1A515AD3" w:rsidR="00D9723E" w:rsidRPr="00FB0E0A"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r>
      <w:r w:rsidRPr="00FB0E0A">
        <w:rPr>
          <w:sz w:val="22"/>
          <w:szCs w:val="22"/>
        </w:rPr>
        <w:t>Dodavatel je oprávněn vyplňovat cenovou nabídku u jednotlivých položek katalogu poté, jakmile obdrží oznámení o svém zařazení do DNS. To neplatí v případě, že zadavatel umožní vyplnění elektronického katalogu i nezařazenému dodavateli</w:t>
      </w:r>
      <w:r w:rsidR="00F25B8C" w:rsidRPr="00FB0E0A">
        <w:rPr>
          <w:sz w:val="22"/>
          <w:szCs w:val="22"/>
        </w:rPr>
        <w:t xml:space="preserve"> (např. při podání žádosti o účast v příp., že zadavatel zamýšlí při zadání zakázky postupovat v souladu s § 215 odst. 4 písm. b) zákona)</w:t>
      </w:r>
      <w:r w:rsidRPr="00FB0E0A">
        <w:rPr>
          <w:sz w:val="22"/>
          <w:szCs w:val="22"/>
        </w:rPr>
        <w:t xml:space="preserve">;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sidRPr="00FB0E0A">
        <w:rPr>
          <w:b/>
          <w:sz w:val="22"/>
          <w:szCs w:val="22"/>
        </w:rPr>
        <w:t>Informace o cenách uvedených u jednotlivých položek katalogu nejsou v průběhu trvání DNS zadavateli k dispozici.</w:t>
      </w:r>
      <w:r w:rsidRPr="00FB0E0A">
        <w:rPr>
          <w:sz w:val="22"/>
          <w:szCs w:val="22"/>
        </w:rPr>
        <w:t xml:space="preserve"> </w:t>
      </w:r>
    </w:p>
    <w:p w14:paraId="0000005A" w14:textId="4543286B" w:rsidR="00D9723E" w:rsidRPr="00FB0E0A" w:rsidRDefault="00D73A7D">
      <w:pPr>
        <w:spacing w:after="120"/>
        <w:ind w:left="567" w:hanging="567"/>
        <w:jc w:val="both"/>
        <w:rPr>
          <w:sz w:val="22"/>
          <w:szCs w:val="22"/>
        </w:rPr>
      </w:pPr>
      <w:r w:rsidRPr="00FB0E0A">
        <w:rPr>
          <w:sz w:val="22"/>
          <w:szCs w:val="22"/>
        </w:rPr>
        <w:t>7.3</w:t>
      </w:r>
      <w:r w:rsidRPr="00FB0E0A">
        <w:rPr>
          <w:sz w:val="22"/>
          <w:szCs w:val="22"/>
        </w:rPr>
        <w:tab/>
      </w:r>
      <w:r w:rsidRPr="00FB0E0A">
        <w:rPr>
          <w:sz w:val="22"/>
          <w:szCs w:val="22"/>
        </w:rPr>
        <w:tab/>
        <w:t xml:space="preserve">Dodavatel podává nabídku v dílčí zakázce DNS ve lhůtě pro podání nabídek, a to buď postupem dle § 215 odst. </w:t>
      </w:r>
      <w:r w:rsidR="0054544C" w:rsidRPr="00FB0E0A">
        <w:rPr>
          <w:sz w:val="22"/>
          <w:szCs w:val="22"/>
        </w:rPr>
        <w:t>4</w:t>
      </w:r>
      <w:r w:rsidRPr="00FB0E0A">
        <w:rPr>
          <w:sz w:val="22"/>
          <w:szCs w:val="22"/>
        </w:rPr>
        <w:t xml:space="preserve"> písm. a) nebo postupem dle § 215 odst. </w:t>
      </w:r>
      <w:r w:rsidR="0054544C" w:rsidRPr="00FB0E0A">
        <w:rPr>
          <w:sz w:val="22"/>
          <w:szCs w:val="22"/>
        </w:rPr>
        <w:t>4</w:t>
      </w:r>
      <w:r w:rsidRPr="00FB0E0A">
        <w:rPr>
          <w:sz w:val="22"/>
          <w:szCs w:val="22"/>
        </w:rPr>
        <w:t xml:space="preserve"> písm. b) </w:t>
      </w:r>
      <w:r w:rsidR="0054544C" w:rsidRPr="00FB0E0A">
        <w:rPr>
          <w:sz w:val="22"/>
          <w:szCs w:val="22"/>
        </w:rPr>
        <w:t>z</w:t>
      </w:r>
      <w:r w:rsidRPr="00FB0E0A">
        <w:rPr>
          <w:sz w:val="22"/>
          <w:szCs w:val="22"/>
        </w:rPr>
        <w:t>ákona</w:t>
      </w:r>
      <w:r w:rsidR="005268AE" w:rsidRPr="00FB0E0A">
        <w:rPr>
          <w:sz w:val="22"/>
          <w:szCs w:val="22"/>
        </w:rPr>
        <w:t xml:space="preserve"> dle pokynů uvedených v zadávací dokumentaci a ve výzvě pro podání nabídky</w:t>
      </w:r>
      <w:r w:rsidRPr="00FB0E0A">
        <w:rPr>
          <w:sz w:val="22"/>
          <w:szCs w:val="22"/>
        </w:rPr>
        <w:t xml:space="preserve">. </w:t>
      </w:r>
    </w:p>
    <w:p w14:paraId="0000005B" w14:textId="0CB8FF6B" w:rsidR="00D9723E" w:rsidRPr="00FB0E0A" w:rsidRDefault="00D73A7D">
      <w:pPr>
        <w:spacing w:after="120"/>
        <w:ind w:left="567" w:hanging="567"/>
        <w:jc w:val="both"/>
        <w:rPr>
          <w:sz w:val="22"/>
          <w:szCs w:val="22"/>
        </w:rPr>
      </w:pPr>
      <w:r w:rsidRPr="00FB0E0A">
        <w:rPr>
          <w:sz w:val="22"/>
          <w:szCs w:val="22"/>
        </w:rPr>
        <w:t>7.4</w:t>
      </w:r>
      <w:r w:rsidRPr="00FB0E0A">
        <w:rPr>
          <w:sz w:val="22"/>
          <w:szCs w:val="22"/>
        </w:rPr>
        <w:tab/>
      </w:r>
      <w:r w:rsidRPr="00FB0E0A">
        <w:rPr>
          <w:sz w:val="22"/>
          <w:szCs w:val="22"/>
        </w:rPr>
        <w:tab/>
        <w:t xml:space="preserve">V případě postupu dle § 215 odst. </w:t>
      </w:r>
      <w:r w:rsidR="0054544C" w:rsidRPr="00FB0E0A">
        <w:rPr>
          <w:sz w:val="22"/>
          <w:szCs w:val="22"/>
        </w:rPr>
        <w:t>4</w:t>
      </w:r>
      <w:r w:rsidRPr="00FB0E0A">
        <w:rPr>
          <w:sz w:val="22"/>
          <w:szCs w:val="22"/>
        </w:rPr>
        <w:t xml:space="preserve"> písm. a) </w:t>
      </w:r>
      <w:r w:rsidR="0054544C" w:rsidRPr="00FB0E0A">
        <w:rPr>
          <w:sz w:val="22"/>
          <w:szCs w:val="22"/>
        </w:rPr>
        <w:t>z</w:t>
      </w:r>
      <w:r w:rsidRPr="00FB0E0A">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sidRPr="00FB0E0A">
        <w:rPr>
          <w:sz w:val="22"/>
          <w:szCs w:val="22"/>
        </w:rPr>
        <w:t xml:space="preserve">podané k dílčí veřejné </w:t>
      </w:r>
      <w:r w:rsidRPr="00FB0E0A">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46FC0317" w:rsidR="003938BE" w:rsidRPr="00FB0E0A" w:rsidRDefault="00D73A7D" w:rsidP="00BC5D13">
      <w:pPr>
        <w:spacing w:after="120"/>
        <w:ind w:left="567" w:hanging="567"/>
        <w:jc w:val="both"/>
        <w:rPr>
          <w:sz w:val="22"/>
          <w:szCs w:val="22"/>
        </w:rPr>
      </w:pPr>
      <w:r w:rsidRPr="00FB0E0A">
        <w:rPr>
          <w:sz w:val="22"/>
          <w:szCs w:val="22"/>
        </w:rPr>
        <w:t>7.5</w:t>
      </w:r>
      <w:r w:rsidRPr="00FB0E0A">
        <w:rPr>
          <w:sz w:val="22"/>
          <w:szCs w:val="22"/>
        </w:rPr>
        <w:tab/>
      </w:r>
      <w:r w:rsidRPr="00FB0E0A">
        <w:rPr>
          <w:sz w:val="22"/>
          <w:szCs w:val="22"/>
        </w:rPr>
        <w:tab/>
        <w:t xml:space="preserve">V případě postupu </w:t>
      </w:r>
      <w:r w:rsidR="001F1CAA" w:rsidRPr="00FB0E0A">
        <w:rPr>
          <w:sz w:val="22"/>
          <w:szCs w:val="22"/>
        </w:rPr>
        <w:t xml:space="preserve">zadavatele </w:t>
      </w:r>
      <w:r w:rsidRPr="00FB0E0A">
        <w:rPr>
          <w:sz w:val="22"/>
          <w:szCs w:val="22"/>
        </w:rPr>
        <w:t xml:space="preserve">dle § 215 odst. </w:t>
      </w:r>
      <w:r w:rsidR="0054544C" w:rsidRPr="00FB0E0A">
        <w:rPr>
          <w:sz w:val="22"/>
          <w:szCs w:val="22"/>
        </w:rPr>
        <w:t>4</w:t>
      </w:r>
      <w:r w:rsidRPr="00FB0E0A">
        <w:rPr>
          <w:sz w:val="22"/>
          <w:szCs w:val="22"/>
        </w:rPr>
        <w:t xml:space="preserve">, písm. b) </w:t>
      </w:r>
      <w:r w:rsidR="0054544C" w:rsidRPr="00FB0E0A">
        <w:rPr>
          <w:sz w:val="22"/>
          <w:szCs w:val="22"/>
        </w:rPr>
        <w:t>z</w:t>
      </w:r>
      <w:r w:rsidRPr="00FB0E0A">
        <w:rPr>
          <w:sz w:val="22"/>
          <w:szCs w:val="22"/>
        </w:rPr>
        <w:t xml:space="preserve">ákona </w:t>
      </w:r>
      <w:r w:rsidR="00B56DBA" w:rsidRPr="00FB0E0A">
        <w:rPr>
          <w:sz w:val="22"/>
          <w:szCs w:val="22"/>
        </w:rPr>
        <w:t xml:space="preserve">má </w:t>
      </w:r>
      <w:r w:rsidR="00D704AC" w:rsidRPr="00FB0E0A">
        <w:rPr>
          <w:sz w:val="22"/>
          <w:szCs w:val="22"/>
        </w:rPr>
        <w:t xml:space="preserve">dodavatel </w:t>
      </w:r>
      <w:r w:rsidR="00B56DBA" w:rsidRPr="00FB0E0A">
        <w:rPr>
          <w:sz w:val="22"/>
          <w:szCs w:val="22"/>
          <w:shd w:val="clear" w:color="auto" w:fill="FFFFFF"/>
        </w:rPr>
        <w:t>v JOSEPHINE k dispozici elektronický katalog, který vyplní se žádostí o účast</w:t>
      </w:r>
      <w:r w:rsidR="001F1CAA" w:rsidRPr="00FB0E0A">
        <w:rPr>
          <w:sz w:val="22"/>
          <w:szCs w:val="22"/>
        </w:rPr>
        <w:t>.</w:t>
      </w:r>
      <w:r w:rsidR="00D704AC" w:rsidRPr="00FB0E0A">
        <w:rPr>
          <w:sz w:val="22"/>
          <w:szCs w:val="22"/>
        </w:rPr>
        <w:t xml:space="preserve"> </w:t>
      </w:r>
      <w:r w:rsidR="001F1CAA" w:rsidRPr="00FB0E0A">
        <w:rPr>
          <w:sz w:val="22"/>
          <w:szCs w:val="22"/>
        </w:rPr>
        <w:t>P</w:t>
      </w:r>
      <w:r w:rsidR="00D704AC" w:rsidRPr="00FB0E0A">
        <w:rPr>
          <w:sz w:val="22"/>
          <w:szCs w:val="22"/>
        </w:rPr>
        <w:t>ři zadávání dílčí veřejné zakázky</w:t>
      </w:r>
      <w:r w:rsidR="001F1CAA" w:rsidRPr="00FB0E0A">
        <w:rPr>
          <w:sz w:val="22"/>
          <w:szCs w:val="22"/>
        </w:rPr>
        <w:t xml:space="preserve"> </w:t>
      </w:r>
      <w:r w:rsidR="001F1CAA" w:rsidRPr="00FB0E0A">
        <w:rPr>
          <w:sz w:val="22"/>
          <w:szCs w:val="22"/>
        </w:rPr>
        <w:lastRenderedPageBreak/>
        <w:t>v DNS</w:t>
      </w:r>
      <w:r w:rsidR="00D704AC" w:rsidRPr="00FB0E0A">
        <w:rPr>
          <w:sz w:val="22"/>
          <w:szCs w:val="22"/>
        </w:rPr>
        <w:t xml:space="preserve"> </w:t>
      </w:r>
      <w:r w:rsidRPr="00FB0E0A">
        <w:rPr>
          <w:sz w:val="22"/>
          <w:szCs w:val="22"/>
        </w:rPr>
        <w:t xml:space="preserve">je dodavateli </w:t>
      </w:r>
      <w:r w:rsidR="003938BE" w:rsidRPr="00FB0E0A">
        <w:rPr>
          <w:sz w:val="22"/>
          <w:szCs w:val="22"/>
        </w:rPr>
        <w:t xml:space="preserve">v přiměřeném časovém předstihu </w:t>
      </w:r>
      <w:r w:rsidRPr="00FB0E0A">
        <w:rPr>
          <w:sz w:val="22"/>
          <w:szCs w:val="22"/>
        </w:rPr>
        <w:t xml:space="preserve">oznámeno, že zadavatel </w:t>
      </w:r>
      <w:r w:rsidR="003938BE" w:rsidRPr="00FB0E0A">
        <w:rPr>
          <w:sz w:val="22"/>
          <w:szCs w:val="22"/>
        </w:rPr>
        <w:t xml:space="preserve">sám vybere </w:t>
      </w:r>
      <w:r w:rsidRPr="00FB0E0A">
        <w:rPr>
          <w:sz w:val="22"/>
          <w:szCs w:val="22"/>
        </w:rPr>
        <w:t xml:space="preserve">položky katalogu pro dílčí zakázku DNS a že nabídka dodavatele bude podána </w:t>
      </w:r>
      <w:r w:rsidR="003938BE" w:rsidRPr="00FB0E0A">
        <w:rPr>
          <w:sz w:val="22"/>
          <w:szCs w:val="22"/>
        </w:rPr>
        <w:t xml:space="preserve">automaticky </w:t>
      </w:r>
      <w:r w:rsidRPr="00FB0E0A">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sidRPr="00FB0E0A">
        <w:rPr>
          <w:sz w:val="22"/>
          <w:szCs w:val="22"/>
        </w:rPr>
        <w:t xml:space="preserve">dodavatel </w:t>
      </w:r>
      <w:r w:rsidRPr="00FB0E0A">
        <w:rPr>
          <w:sz w:val="22"/>
          <w:szCs w:val="22"/>
        </w:rPr>
        <w:t>do</w:t>
      </w:r>
      <w:r w:rsidR="00CF7447" w:rsidRPr="00FB0E0A">
        <w:rPr>
          <w:sz w:val="22"/>
          <w:szCs w:val="22"/>
        </w:rPr>
        <w:t> </w:t>
      </w:r>
      <w:r w:rsidRPr="00FB0E0A">
        <w:rPr>
          <w:sz w:val="22"/>
          <w:szCs w:val="22"/>
        </w:rPr>
        <w:t>konce lhůty pro podání nabídek nevyjádří, systém JOSEPHINE v čase odpovídajícím konci lhůty pro podání nabídek automaticky vytvoří nabídku dodavatele. Nabídka bude vytvořena dle</w:t>
      </w:r>
      <w:r w:rsidR="00CF7447" w:rsidRPr="00FB0E0A">
        <w:rPr>
          <w:sz w:val="22"/>
          <w:szCs w:val="22"/>
        </w:rPr>
        <w:t> </w:t>
      </w:r>
      <w:r w:rsidRPr="00FB0E0A">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2ACE6EAD" w:rsidR="00D9723E" w:rsidRDefault="003938BE" w:rsidP="001F1CAA">
      <w:pPr>
        <w:spacing w:after="120"/>
        <w:ind w:left="567"/>
        <w:jc w:val="both"/>
        <w:rPr>
          <w:sz w:val="22"/>
          <w:szCs w:val="22"/>
        </w:rPr>
      </w:pPr>
      <w:r w:rsidRPr="00FB0E0A">
        <w:rPr>
          <w:sz w:val="22"/>
          <w:szCs w:val="22"/>
        </w:rPr>
        <w:t>Před zadáním dílčí veřejné</w:t>
      </w:r>
      <w:r>
        <w:rPr>
          <w:sz w:val="22"/>
          <w:szCs w:val="22"/>
        </w:rPr>
        <w:t xml:space="preserve">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5D431CEA"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w:t>
      </w:r>
      <w:r>
        <w:rPr>
          <w:sz w:val="22"/>
          <w:szCs w:val="22"/>
        </w:rPr>
        <w:lastRenderedPageBreak/>
        <w:t xml:space="preserve">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B87C" w14:textId="77777777" w:rsidR="00975121" w:rsidRDefault="00975121">
      <w:r>
        <w:separator/>
      </w:r>
    </w:p>
  </w:endnote>
  <w:endnote w:type="continuationSeparator" w:id="0">
    <w:p w14:paraId="1066F134" w14:textId="77777777" w:rsidR="00975121" w:rsidRDefault="0097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63CB" w14:textId="77777777" w:rsidR="00975121" w:rsidRDefault="00975121">
      <w:r>
        <w:separator/>
      </w:r>
    </w:p>
  </w:footnote>
  <w:footnote w:type="continuationSeparator" w:id="0">
    <w:p w14:paraId="7BAF43AC" w14:textId="77777777" w:rsidR="00975121" w:rsidRDefault="0097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4065701">
    <w:abstractNumId w:val="0"/>
  </w:num>
  <w:num w:numId="2" w16cid:durableId="13803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30EE1"/>
    <w:rsid w:val="00062C45"/>
    <w:rsid w:val="00085574"/>
    <w:rsid w:val="00085C46"/>
    <w:rsid w:val="000C2546"/>
    <w:rsid w:val="000E382C"/>
    <w:rsid w:val="00137E06"/>
    <w:rsid w:val="00175B19"/>
    <w:rsid w:val="00175E70"/>
    <w:rsid w:val="00196550"/>
    <w:rsid w:val="001A2301"/>
    <w:rsid w:val="001B5611"/>
    <w:rsid w:val="001C34B6"/>
    <w:rsid w:val="001D205D"/>
    <w:rsid w:val="001F1CAA"/>
    <w:rsid w:val="00202178"/>
    <w:rsid w:val="00285772"/>
    <w:rsid w:val="002A5C1B"/>
    <w:rsid w:val="002C495F"/>
    <w:rsid w:val="002E025E"/>
    <w:rsid w:val="00323DCD"/>
    <w:rsid w:val="003279DB"/>
    <w:rsid w:val="003938BE"/>
    <w:rsid w:val="004934FC"/>
    <w:rsid w:val="004A060F"/>
    <w:rsid w:val="005268AE"/>
    <w:rsid w:val="0054544C"/>
    <w:rsid w:val="005A2ECF"/>
    <w:rsid w:val="005E204E"/>
    <w:rsid w:val="006658E8"/>
    <w:rsid w:val="0068436D"/>
    <w:rsid w:val="006B4957"/>
    <w:rsid w:val="006E6056"/>
    <w:rsid w:val="00713E06"/>
    <w:rsid w:val="00741B21"/>
    <w:rsid w:val="00894B5E"/>
    <w:rsid w:val="00897022"/>
    <w:rsid w:val="0091771C"/>
    <w:rsid w:val="00936F1E"/>
    <w:rsid w:val="00950206"/>
    <w:rsid w:val="00971CA1"/>
    <w:rsid w:val="00975121"/>
    <w:rsid w:val="0098359F"/>
    <w:rsid w:val="009F63B4"/>
    <w:rsid w:val="00A217ED"/>
    <w:rsid w:val="00AB7D65"/>
    <w:rsid w:val="00B56DBA"/>
    <w:rsid w:val="00BA6F76"/>
    <w:rsid w:val="00BC5D13"/>
    <w:rsid w:val="00BE5E3A"/>
    <w:rsid w:val="00C8573E"/>
    <w:rsid w:val="00C864D2"/>
    <w:rsid w:val="00CD05A6"/>
    <w:rsid w:val="00CF7447"/>
    <w:rsid w:val="00D5773F"/>
    <w:rsid w:val="00D704AC"/>
    <w:rsid w:val="00D73A7D"/>
    <w:rsid w:val="00D9723E"/>
    <w:rsid w:val="00E2363A"/>
    <w:rsid w:val="00E752C7"/>
    <w:rsid w:val="00EE389E"/>
    <w:rsid w:val="00F1632A"/>
    <w:rsid w:val="00F25B8C"/>
    <w:rsid w:val="00F44DCA"/>
    <w:rsid w:val="00FA364A"/>
    <w:rsid w:val="00FB0E0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93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4808</Words>
  <Characters>28374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Poslová, Silnice LK a.s.</cp:lastModifiedBy>
  <cp:revision>7</cp:revision>
  <cp:lastPrinted>2025-10-07T12:14:00Z</cp:lastPrinted>
  <dcterms:created xsi:type="dcterms:W3CDTF">2025-10-07T14:40:00Z</dcterms:created>
  <dcterms:modified xsi:type="dcterms:W3CDTF">2026-03-10T15:11:00Z</dcterms:modified>
</cp:coreProperties>
</file>