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7BC40496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7773C4" w:rsidRPr="007773C4">
        <w:rPr>
          <w:rFonts w:ascii="Garamond" w:hAnsi="Garamond"/>
          <w:b/>
          <w:bCs/>
          <w:u w:val="single"/>
        </w:rPr>
        <w:t>Prístrešky na zastávkach MHD v</w:t>
      </w:r>
      <w:r w:rsidR="00DA6A53">
        <w:rPr>
          <w:rFonts w:ascii="Garamond" w:hAnsi="Garamond"/>
          <w:b/>
          <w:bCs/>
          <w:u w:val="single"/>
        </w:rPr>
        <w:t> </w:t>
      </w:r>
      <w:r w:rsidR="007773C4" w:rsidRPr="007773C4">
        <w:rPr>
          <w:rFonts w:ascii="Garamond" w:hAnsi="Garamond"/>
          <w:b/>
          <w:bCs/>
          <w:u w:val="single"/>
        </w:rPr>
        <w:t>Bratislave</w:t>
      </w:r>
      <w:r w:rsidR="00DA6A53">
        <w:rPr>
          <w:rFonts w:ascii="Garamond" w:hAnsi="Garamond"/>
          <w:b/>
          <w:bCs/>
          <w:u w:val="single"/>
        </w:rPr>
        <w:t xml:space="preserve"> </w:t>
      </w:r>
      <w:r w:rsidR="00DA6A53" w:rsidRPr="00DA6A53">
        <w:rPr>
          <w:rFonts w:ascii="Garamond" w:eastAsia="Times New Roman" w:hAnsi="Garamond"/>
          <w:b/>
          <w:bCs/>
          <w:color w:val="000000" w:themeColor="text1"/>
          <w:u w:val="single"/>
        </w:rPr>
        <w:t>v zmysle technických štandardov HMBA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716E08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</w:p>
    <w:p w14:paraId="08A3A1CB" w14:textId="7EC0692D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DA6A53">
        <w:rPr>
          <w:rFonts w:ascii="Garamond" w:hAnsi="Garamond"/>
        </w:rPr>
        <w:t>15</w:t>
      </w:r>
      <w:r w:rsidR="00791510" w:rsidRPr="00F43C47">
        <w:rPr>
          <w:rFonts w:ascii="Garamond" w:hAnsi="Garamond"/>
        </w:rPr>
        <w:t>/202</w:t>
      </w:r>
      <w:r w:rsidR="007773C4">
        <w:rPr>
          <w:rFonts w:ascii="Garamond" w:hAnsi="Garamond"/>
        </w:rPr>
        <w:t>6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2185D919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DA6A53">
        <w:rPr>
          <w:rFonts w:ascii="Garamond" w:hAnsi="Garamond"/>
          <w:b/>
        </w:rPr>
        <w:t>265 200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EC6B2E7" w14:textId="77777777" w:rsidR="007773C4" w:rsidRPr="007773C4" w:rsidRDefault="007773C4" w:rsidP="007773C4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  <w:r w:rsidRPr="007773C4">
        <w:rPr>
          <w:rFonts w:ascii="Garamond" w:hAnsi="Garamond"/>
        </w:rPr>
        <w:t>44112100 – 9 Prístrešky/kryty</w:t>
      </w:r>
    </w:p>
    <w:p w14:paraId="18251759" w14:textId="77777777" w:rsidR="007773C4" w:rsidRPr="007773C4" w:rsidRDefault="007773C4" w:rsidP="007773C4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  <w:r w:rsidRPr="007773C4">
        <w:rPr>
          <w:rFonts w:ascii="Garamond" w:hAnsi="Garamond"/>
        </w:rPr>
        <w:t>45213316 – 1 Inštalačné práce na chodníkoch</w:t>
      </w:r>
    </w:p>
    <w:p w14:paraId="21836470" w14:textId="77777777" w:rsidR="007773C4" w:rsidRPr="007773C4" w:rsidRDefault="007773C4" w:rsidP="007773C4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  <w:r w:rsidRPr="007773C4">
        <w:rPr>
          <w:rFonts w:ascii="Garamond" w:hAnsi="Garamond"/>
        </w:rPr>
        <w:t xml:space="preserve">45213315 – 4 Stavebné práce na prístreškoch </w:t>
      </w:r>
      <w:r w:rsidRPr="00B61FF4">
        <w:rPr>
          <w:rFonts w:ascii="Garamond" w:hAnsi="Garamond"/>
        </w:rPr>
        <w:t>autobusových</w:t>
      </w:r>
      <w:r w:rsidRPr="007773C4">
        <w:rPr>
          <w:rFonts w:ascii="Garamond" w:hAnsi="Garamond"/>
        </w:rPr>
        <w:t xml:space="preserve"> zastávok</w:t>
      </w:r>
    </w:p>
    <w:p w14:paraId="40DEB783" w14:textId="77777777" w:rsidR="00BE3AFC" w:rsidRPr="00B533F6" w:rsidRDefault="00BE3AFC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13CA36F0" w14:textId="5E38C6ED" w:rsidR="00716E08" w:rsidRDefault="00B61FF4" w:rsidP="007773C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B61FF4">
        <w:rPr>
          <w:rFonts w:ascii="Garamond" w:hAnsi="Garamond"/>
          <w:color w:val="000000"/>
        </w:rPr>
        <w:t xml:space="preserve">Predmetom zákazky je uzatvorenie rámcovej dohody na dodanie </w:t>
      </w:r>
      <w:r w:rsidR="00DA6A53">
        <w:rPr>
          <w:rFonts w:ascii="Garamond" w:hAnsi="Garamond"/>
          <w:color w:val="000000"/>
        </w:rPr>
        <w:t>20</w:t>
      </w:r>
      <w:r w:rsidRPr="00B61FF4">
        <w:rPr>
          <w:rFonts w:ascii="Garamond" w:hAnsi="Garamond"/>
          <w:color w:val="000000"/>
        </w:rPr>
        <w:t xml:space="preserve"> ks prístreškov </w:t>
      </w:r>
      <w:r w:rsidR="00DA6A53">
        <w:rPr>
          <w:rFonts w:ascii="Garamond" w:hAnsi="Garamond"/>
          <w:color w:val="000000"/>
        </w:rPr>
        <w:t xml:space="preserve">ako tovaru </w:t>
      </w:r>
      <w:r w:rsidR="00DA6A53" w:rsidRPr="004252FC">
        <w:rPr>
          <w:rFonts w:ascii="Garamond" w:hAnsi="Garamond" w:cs="Arial"/>
          <w:sz w:val="20"/>
          <w:szCs w:val="20"/>
        </w:rPr>
        <w:t>spolu s </w:t>
      </w:r>
      <w:r w:rsidR="00DA6A53">
        <w:rPr>
          <w:rFonts w:ascii="Garamond" w:hAnsi="Garamond" w:cs="Arial"/>
          <w:sz w:val="20"/>
          <w:szCs w:val="20"/>
        </w:rPr>
        <w:t>ich</w:t>
      </w:r>
      <w:r w:rsidR="00DA6A53" w:rsidRPr="004252FC">
        <w:rPr>
          <w:rFonts w:ascii="Garamond" w:hAnsi="Garamond" w:cs="Arial"/>
          <w:sz w:val="20"/>
          <w:szCs w:val="20"/>
        </w:rPr>
        <w:t xml:space="preserve"> montážou </w:t>
      </w:r>
      <w:r w:rsidRPr="002E4B16">
        <w:rPr>
          <w:rFonts w:ascii="Garamond" w:hAnsi="Garamond"/>
          <w:color w:val="000000"/>
        </w:rPr>
        <w:t>do vopred pripraveného základu na konkrétnej</w:t>
      </w:r>
      <w:r w:rsidRPr="00B61FF4">
        <w:rPr>
          <w:rFonts w:ascii="Garamond" w:hAnsi="Garamond"/>
          <w:color w:val="000000"/>
        </w:rPr>
        <w:t xml:space="preserve"> zastávke v rámci siete MHD v Bratislave. V rámci ponuky uchádzač predloží aj vizualizácie prístreškov a projektovú dokumentáciu konštrukcie prístrešku podľa obstarávateľom požadovaných kritérií tak, aby bolo možné jednoznačne určiť, že ponúkaný prístrešok spĺňa požadované parametre</w:t>
      </w:r>
      <w:r w:rsidR="0045753F" w:rsidRPr="00B61FF4">
        <w:rPr>
          <w:rFonts w:ascii="Garamond" w:hAnsi="Garamond"/>
          <w:color w:val="000000"/>
        </w:rPr>
        <w:t>.</w:t>
      </w:r>
    </w:p>
    <w:p w14:paraId="4968F251" w14:textId="77777777" w:rsidR="00DA6A53" w:rsidRDefault="00DA6A53" w:rsidP="00DA6A53">
      <w:pPr>
        <w:pStyle w:val="Odsekzoznamu"/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774A5EF3" w14:textId="7A11759D" w:rsidR="00256D90" w:rsidRPr="00716E08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 w:rsidRPr="00716E08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19CA6207" w:rsidR="0044385C" w:rsidRPr="0045753F" w:rsidRDefault="0045753F" w:rsidP="0045753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45753F">
        <w:rPr>
          <w:rFonts w:ascii="Garamond" w:hAnsi="Garamond"/>
          <w:color w:val="000000"/>
        </w:rPr>
        <w:t>Predmet zákazky sa bude realizovať na mieste určenom obstarávateľskou organizáciou, ktoré sa bude nachádzať na území hl</w:t>
      </w:r>
      <w:r w:rsidR="0044735A">
        <w:rPr>
          <w:rFonts w:ascii="Garamond" w:hAnsi="Garamond"/>
          <w:color w:val="000000"/>
        </w:rPr>
        <w:t>.</w:t>
      </w:r>
      <w:r w:rsidRPr="0045753F">
        <w:rPr>
          <w:rFonts w:ascii="Garamond" w:hAnsi="Garamond"/>
          <w:color w:val="000000"/>
        </w:rPr>
        <w:t xml:space="preserve"> mesta SR Bratislavy</w:t>
      </w:r>
      <w:r>
        <w:rPr>
          <w:rFonts w:ascii="Garamond" w:hAnsi="Garamond"/>
          <w:color w:val="000000"/>
        </w:rPr>
        <w:t xml:space="preserve"> resp. </w:t>
      </w:r>
      <w:r w:rsidR="00D07AEA" w:rsidRPr="0045753F">
        <w:rPr>
          <w:rFonts w:ascii="Garamond" w:hAnsi="Garamond"/>
          <w:color w:val="000000"/>
        </w:rPr>
        <w:t xml:space="preserve">vozovňa </w:t>
      </w:r>
      <w:r w:rsidR="00892DBF" w:rsidRPr="0045753F">
        <w:rPr>
          <w:rFonts w:ascii="Garamond" w:hAnsi="Garamond"/>
          <w:color w:val="000000"/>
        </w:rPr>
        <w:t xml:space="preserve">obstarávateľskej organizácie </w:t>
      </w:r>
      <w:r w:rsidR="0037170F" w:rsidRPr="0045753F">
        <w:rPr>
          <w:rFonts w:ascii="Garamond" w:hAnsi="Garamond"/>
          <w:color w:val="000000"/>
        </w:rPr>
        <w:t>Trnávka</w:t>
      </w:r>
      <w:r w:rsidR="00D07AEA" w:rsidRPr="0045753F">
        <w:rPr>
          <w:rFonts w:ascii="Garamond" w:hAnsi="Garamond"/>
          <w:color w:val="000000"/>
        </w:rPr>
        <w:t xml:space="preserve">-Jurajov dvor </w:t>
      </w:r>
      <w:r w:rsidR="0037170F" w:rsidRPr="0045753F">
        <w:rPr>
          <w:rFonts w:ascii="Garamond" w:hAnsi="Garamond"/>
          <w:color w:val="000000"/>
        </w:rPr>
        <w:t>v</w:t>
      </w:r>
      <w:r w:rsidR="0044735A">
        <w:rPr>
          <w:rFonts w:ascii="Garamond" w:hAnsi="Garamond"/>
          <w:color w:val="000000"/>
        </w:rPr>
        <w:t> </w:t>
      </w:r>
      <w:r w:rsidR="0037170F" w:rsidRPr="0045753F">
        <w:rPr>
          <w:rFonts w:ascii="Garamond" w:hAnsi="Garamond"/>
          <w:color w:val="000000"/>
        </w:rPr>
        <w:t>Bratislave</w:t>
      </w:r>
      <w:r w:rsidR="0044735A">
        <w:rPr>
          <w:rFonts w:ascii="Garamond" w:hAnsi="Garamond"/>
          <w:color w:val="000000"/>
        </w:rPr>
        <w:t>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039D5293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</w:t>
      </w:r>
      <w:r w:rsidRPr="00800297">
        <w:rPr>
          <w:rFonts w:ascii="Garamond" w:hAnsi="Garamond"/>
          <w:b/>
          <w:bCs/>
          <w:color w:val="000000"/>
        </w:rPr>
        <w:t xml:space="preserve">ponúk:  </w:t>
      </w:r>
      <w:r w:rsidRPr="003D4E1B">
        <w:rPr>
          <w:rFonts w:ascii="Garamond" w:hAnsi="Garamond"/>
          <w:b/>
          <w:bCs/>
          <w:color w:val="000000"/>
        </w:rPr>
        <w:t>do</w:t>
      </w:r>
      <w:r w:rsidR="00791510" w:rsidRPr="003D4E1B">
        <w:rPr>
          <w:rFonts w:ascii="Garamond" w:hAnsi="Garamond"/>
          <w:b/>
          <w:bCs/>
          <w:color w:val="000000"/>
        </w:rPr>
        <w:t xml:space="preserve"> </w:t>
      </w:r>
      <w:r w:rsidR="00393D38" w:rsidRPr="00393D38">
        <w:rPr>
          <w:rFonts w:ascii="Garamond" w:hAnsi="Garamond"/>
          <w:b/>
          <w:bCs/>
          <w:color w:val="FF0000"/>
        </w:rPr>
        <w:t>08</w:t>
      </w:r>
      <w:r w:rsidR="00DA6A53" w:rsidRPr="00393D38">
        <w:rPr>
          <w:rFonts w:ascii="Garamond" w:hAnsi="Garamond"/>
          <w:b/>
          <w:bCs/>
          <w:color w:val="FF0000"/>
        </w:rPr>
        <w:t>.</w:t>
      </w:r>
      <w:r w:rsidR="00393D38" w:rsidRPr="00393D38">
        <w:rPr>
          <w:rFonts w:ascii="Garamond" w:hAnsi="Garamond"/>
          <w:b/>
          <w:bCs/>
          <w:color w:val="FF0000"/>
        </w:rPr>
        <w:t>06</w:t>
      </w:r>
      <w:r w:rsidR="000E553E" w:rsidRPr="00393D38">
        <w:rPr>
          <w:rFonts w:ascii="Garamond" w:hAnsi="Garamond"/>
          <w:b/>
          <w:bCs/>
          <w:color w:val="FF0000"/>
        </w:rPr>
        <w:t>.</w:t>
      </w:r>
      <w:r w:rsidR="00791510" w:rsidRPr="00393D38">
        <w:rPr>
          <w:rFonts w:ascii="Garamond" w:hAnsi="Garamond"/>
          <w:b/>
          <w:bCs/>
          <w:color w:val="FF0000"/>
        </w:rPr>
        <w:t>202</w:t>
      </w:r>
      <w:r w:rsidR="0045753F" w:rsidRPr="00393D38">
        <w:rPr>
          <w:rFonts w:ascii="Garamond" w:hAnsi="Garamond"/>
          <w:b/>
          <w:bCs/>
          <w:color w:val="FF0000"/>
        </w:rPr>
        <w:t>6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1F9660B5" w:rsidR="0006129E" w:rsidRPr="00E31B00" w:rsidRDefault="0076182C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7813F5">
          <w:rPr>
            <w:rStyle w:val="Hypertextovprepojenie"/>
            <w:rFonts w:ascii="Garamond" w:hAnsi="Garamond" w:cs="Arial"/>
          </w:rPr>
          <w:t>https://josephine.proebiz.com/sk/tender/</w:t>
        </w:r>
        <w:r w:rsidR="00323424" w:rsidRPr="00323424">
          <w:rPr>
            <w:rStyle w:val="Hypertextovprepojenie"/>
            <w:rFonts w:ascii="Garamond" w:hAnsi="Garamond" w:cs="Arial"/>
          </w:rPr>
          <w:t>77740</w:t>
        </w:r>
        <w:r w:rsidRPr="007813F5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880A45B" w14:textId="77777777" w:rsidR="0045753F" w:rsidRDefault="0045753F" w:rsidP="0045753F">
      <w:pPr>
        <w:rPr>
          <w:rFonts w:ascii="Garamond" w:hAnsi="Garamond"/>
          <w:b/>
          <w:bCs/>
          <w:color w:val="000000"/>
        </w:rPr>
      </w:pPr>
    </w:p>
    <w:p w14:paraId="3F14284C" w14:textId="77777777" w:rsidR="00B61FF4" w:rsidRPr="0045753F" w:rsidRDefault="00B61FF4" w:rsidP="0045753F">
      <w:pPr>
        <w:rPr>
          <w:rFonts w:ascii="Garamond" w:hAnsi="Garamond"/>
          <w:b/>
          <w:bCs/>
          <w:color w:val="000000"/>
        </w:rPr>
      </w:pPr>
    </w:p>
    <w:p w14:paraId="2B692A2F" w14:textId="4D74C83B" w:rsidR="0006129E" w:rsidRPr="00ED6CA2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B86258" w:rsidRPr="0044735A">
        <w:rPr>
          <w:rFonts w:ascii="Garamond" w:hAnsi="Garamond"/>
          <w:color w:val="000000"/>
        </w:rPr>
        <w:t xml:space="preserve">rámcová </w:t>
      </w:r>
      <w:r w:rsidR="0045753F" w:rsidRPr="0044735A">
        <w:rPr>
          <w:rFonts w:ascii="Garamond" w:hAnsi="Garamond"/>
          <w:color w:val="000000"/>
        </w:rPr>
        <w:t>dohoda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3D2116BD" w14:textId="76DA8945" w:rsidR="0006129E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Trvanie zmluvy: </w:t>
      </w:r>
      <w:r w:rsidR="00DA6A53">
        <w:rPr>
          <w:rFonts w:ascii="Garamond" w:hAnsi="Garamond"/>
          <w:color w:val="000000"/>
        </w:rPr>
        <w:t>12</w:t>
      </w:r>
      <w:r w:rsidR="00E470C1" w:rsidRPr="0044735A">
        <w:rPr>
          <w:rFonts w:ascii="Garamond" w:hAnsi="Garamond"/>
          <w:color w:val="000000"/>
        </w:rPr>
        <w:t xml:space="preserve"> mesiacov </w:t>
      </w:r>
      <w:r w:rsidR="0044735A" w:rsidRPr="0044735A">
        <w:rPr>
          <w:rFonts w:ascii="Garamond" w:hAnsi="Garamond"/>
          <w:color w:val="000000"/>
        </w:rPr>
        <w:t>odo dňa účinnosti Zmluvy alebo do vyčerpania obchodovateľného finančného objemu</w:t>
      </w:r>
      <w:r w:rsidR="00E470C1" w:rsidRPr="0044735A">
        <w:rPr>
          <w:rFonts w:ascii="Garamond" w:hAnsi="Garamond"/>
          <w:color w:val="000000"/>
        </w:rPr>
        <w:t>.</w:t>
      </w:r>
    </w:p>
    <w:p w14:paraId="7A64AC3E" w14:textId="4575931D" w:rsidR="00535C08" w:rsidRPr="00535C08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pacing w:val="-2"/>
        </w:rPr>
      </w:pPr>
      <w:r w:rsidRPr="00535C08">
        <w:rPr>
          <w:rFonts w:ascii="Garamond" w:hAnsi="Garamond"/>
          <w:color w:val="000000"/>
          <w:spacing w:val="-2"/>
        </w:rPr>
        <w:t xml:space="preserve">Lehota dodania: do 60 dní </w:t>
      </w:r>
      <w:r w:rsidR="00C82FB9" w:rsidRPr="004774C3">
        <w:rPr>
          <w:rFonts w:ascii="Garamond" w:hAnsi="Garamond"/>
          <w:lang w:eastAsia="cs-CZ"/>
        </w:rPr>
        <w:t>odo dňa doručenia objednávk</w:t>
      </w:r>
      <w:r w:rsidR="00393D38">
        <w:rPr>
          <w:rFonts w:ascii="Garamond" w:hAnsi="Garamond"/>
          <w:lang w:eastAsia="cs-CZ"/>
        </w:rPr>
        <w:t>y</w:t>
      </w:r>
      <w:r w:rsidRPr="00535C08">
        <w:rPr>
          <w:rFonts w:ascii="Garamond" w:hAnsi="Garamond"/>
          <w:color w:val="000000"/>
          <w:spacing w:val="-2"/>
        </w:rPr>
        <w:t>. Viac uvedené v Prílohe č.4 Rámcová dohoda.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01DAA57B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78CB3B1A" w:rsidR="00CF48E7" w:rsidRPr="00832924" w:rsidRDefault="00CF48E7" w:rsidP="00FA327D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proofErr w:type="spellStart"/>
      <w:r w:rsidRPr="00832924">
        <w:rPr>
          <w:rFonts w:ascii="Garamond" w:hAnsi="Garamond" w:cs="Calibri"/>
          <w:spacing w:val="-4"/>
        </w:rPr>
        <w:t>nacenený</w:t>
      </w:r>
      <w:proofErr w:type="spellEnd"/>
      <w:r w:rsidRPr="00832924">
        <w:rPr>
          <w:rFonts w:ascii="Garamond" w:hAnsi="Garamond" w:cs="Calibri"/>
          <w:spacing w:val="-4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 w:rsidR="0014246E">
        <w:rPr>
          <w:rFonts w:ascii="Garamond" w:hAnsi="Garamond" w:cs="Calibri"/>
          <w:b/>
          <w:spacing w:val="-4"/>
        </w:rPr>
        <w:t>y</w:t>
      </w:r>
      <w:r w:rsidR="004B7AFA">
        <w:rPr>
          <w:rFonts w:ascii="Garamond" w:hAnsi="Garamond" w:cs="Calibri"/>
          <w:b/>
          <w:spacing w:val="-4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 w:rsidR="00FA327D">
        <w:rPr>
          <w:rFonts w:ascii="Garamond" w:hAnsi="Garamond" w:cs="Calibri"/>
          <w:spacing w:val="-4"/>
          <w:u w:val="single"/>
        </w:rPr>
        <w:t xml:space="preserve">, </w:t>
      </w:r>
      <w:r w:rsidRPr="00832924">
        <w:rPr>
          <w:rFonts w:ascii="Garamond" w:hAnsi="Garamond" w:cs="Calibri"/>
          <w:spacing w:val="-4"/>
        </w:rPr>
        <w:t>– vyplnen</w:t>
      </w:r>
      <w:r w:rsidR="0076182C">
        <w:rPr>
          <w:rFonts w:ascii="Garamond" w:hAnsi="Garamond" w:cs="Calibri"/>
          <w:spacing w:val="-4"/>
        </w:rPr>
        <w:t>é</w:t>
      </w:r>
      <w:r w:rsidRPr="00832924">
        <w:rPr>
          <w:rFonts w:ascii="Garamond" w:hAnsi="Garamond" w:cs="Calibri"/>
          <w:spacing w:val="-4"/>
        </w:rPr>
        <w:t xml:space="preserve"> a</w:t>
      </w:r>
      <w:r w:rsidR="0096535A"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 w:rsidR="0096535A">
        <w:rPr>
          <w:rFonts w:ascii="Garamond" w:hAnsi="Garamond" w:cs="Calibri"/>
          <w:spacing w:val="-4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10838061" w:rsidR="00603468" w:rsidRPr="004B7AFA" w:rsidRDefault="00603468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z w:val="22"/>
          <w:szCs w:val="22"/>
          <w:lang w:eastAsia="sk-SK"/>
        </w:rPr>
        <w:t xml:space="preserve">návrh zmluvy 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 w:rsidRPr="00832924">
        <w:rPr>
          <w:rFonts w:ascii="Garamond" w:hAnsi="Garamond" w:cs="Calibri"/>
          <w:spacing w:val="-4"/>
          <w:sz w:val="22"/>
          <w:szCs w:val="22"/>
        </w:rPr>
        <w:t>vyplnen</w:t>
      </w:r>
      <w:r>
        <w:rPr>
          <w:rFonts w:ascii="Garamond" w:hAnsi="Garamond" w:cs="Calibri"/>
          <w:spacing w:val="-4"/>
          <w:sz w:val="22"/>
          <w:szCs w:val="22"/>
        </w:rPr>
        <w:t>ý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a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</w:t>
      </w:r>
      <w:r>
        <w:rPr>
          <w:rFonts w:ascii="Garamond" w:hAnsi="Garamond" w:cs="Calibri"/>
          <w:spacing w:val="-4"/>
          <w:sz w:val="22"/>
          <w:szCs w:val="22"/>
        </w:rPr>
        <w:t>ý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 w:rsidRPr="0076182C">
        <w:rPr>
          <w:rFonts w:ascii="Garamond" w:hAnsi="Garamond"/>
          <w:b/>
        </w:rPr>
        <w:t>Osobitné podmienky účasti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2361DED1" w14:textId="74C87F2B" w:rsidR="00CB08B7" w:rsidRPr="00CB08B7" w:rsidRDefault="00CB08B7" w:rsidP="00CB08B7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bookmarkStart w:id="1" w:name="_Hlk222415607"/>
      <w:r w:rsidRPr="00CB08B7">
        <w:rPr>
          <w:rFonts w:ascii="Garamond" w:hAnsi="Garamond" w:cstheme="minorHAnsi"/>
          <w:spacing w:val="-4"/>
          <w:sz w:val="22"/>
          <w:szCs w:val="22"/>
        </w:rPr>
        <w:t xml:space="preserve">uchádzač preukáže, že za predchádzajúcich päť rokov (60 mesiacov) od vyhlásenia tejto súťaže dodával obdobné tovary, ako je predmet zákazky alebo sa na takýchto zákazkách dodávateľsky podieľal, </w:t>
      </w:r>
      <w:r>
        <w:rPr>
          <w:rFonts w:ascii="Garamond" w:hAnsi="Garamond" w:cstheme="minorHAnsi"/>
          <w:spacing w:val="-4"/>
          <w:sz w:val="22"/>
          <w:szCs w:val="22"/>
        </w:rPr>
        <w:t>čo zahŕňa</w:t>
      </w:r>
      <w:r w:rsidRPr="00CB08B7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Pr="00C4186B">
        <w:rPr>
          <w:rFonts w:ascii="Garamond" w:hAnsi="Garamond" w:cstheme="minorHAnsi"/>
          <w:spacing w:val="-4"/>
          <w:sz w:val="22"/>
          <w:szCs w:val="22"/>
        </w:rPr>
        <w:t xml:space="preserve">dodanie prístrešku </w:t>
      </w:r>
      <w:r w:rsidR="00C4186B">
        <w:rPr>
          <w:rFonts w:ascii="Garamond" w:hAnsi="Garamond" w:cstheme="minorHAnsi"/>
          <w:spacing w:val="-4"/>
          <w:sz w:val="22"/>
          <w:szCs w:val="22"/>
        </w:rPr>
        <w:t xml:space="preserve">vrátane </w:t>
      </w:r>
      <w:r w:rsidRPr="00C4186B">
        <w:rPr>
          <w:rFonts w:ascii="Garamond" w:hAnsi="Garamond" w:cstheme="minorHAnsi"/>
          <w:spacing w:val="-4"/>
          <w:sz w:val="22"/>
          <w:szCs w:val="22"/>
        </w:rPr>
        <w:t>jeho osadeni</w:t>
      </w:r>
      <w:r w:rsidR="00C4186B">
        <w:rPr>
          <w:rFonts w:ascii="Garamond" w:hAnsi="Garamond" w:cstheme="minorHAnsi"/>
          <w:spacing w:val="-4"/>
          <w:sz w:val="22"/>
          <w:szCs w:val="22"/>
        </w:rPr>
        <w:t>a</w:t>
      </w:r>
      <w:r w:rsidRPr="00C4186B">
        <w:rPr>
          <w:rFonts w:ascii="Garamond" w:hAnsi="Garamond" w:cstheme="minorHAnsi"/>
          <w:spacing w:val="-4"/>
          <w:sz w:val="22"/>
          <w:szCs w:val="22"/>
        </w:rPr>
        <w:t>,</w:t>
      </w:r>
      <w:r w:rsidRPr="00CB08B7">
        <w:rPr>
          <w:rFonts w:ascii="Garamond" w:hAnsi="Garamond" w:cstheme="minorHAnsi"/>
          <w:spacing w:val="-4"/>
          <w:sz w:val="22"/>
          <w:szCs w:val="22"/>
        </w:rPr>
        <w:t xml:space="preserve"> v minimálnom počte 10 ks</w:t>
      </w:r>
      <w:bookmarkEnd w:id="1"/>
      <w:r w:rsidRPr="00CB08B7">
        <w:rPr>
          <w:rFonts w:ascii="Garamond" w:hAnsi="Garamond" w:cstheme="minorHAnsi"/>
          <w:spacing w:val="-4"/>
          <w:sz w:val="22"/>
          <w:szCs w:val="22"/>
        </w:rPr>
        <w:t>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70B039A5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33A07597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lastRenderedPageBreak/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FD63B58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8AF8A6B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4B783A88" w14:textId="77777777" w:rsidR="00E51F60" w:rsidRDefault="00E51F60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3A477AEC" w14:textId="4B3CBB84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393D38">
        <w:rPr>
          <w:rFonts w:ascii="Garamond" w:hAnsi="Garamond"/>
          <w:sz w:val="22"/>
          <w:szCs w:val="22"/>
        </w:rPr>
        <w:t>20</w:t>
      </w:r>
      <w:r w:rsidR="000E553E" w:rsidRPr="00393D38">
        <w:rPr>
          <w:rFonts w:ascii="Garamond" w:hAnsi="Garamond"/>
          <w:sz w:val="22"/>
          <w:szCs w:val="22"/>
        </w:rPr>
        <w:t>.</w:t>
      </w:r>
      <w:r w:rsidR="00393D38" w:rsidRPr="00393D38">
        <w:rPr>
          <w:rFonts w:ascii="Garamond" w:hAnsi="Garamond"/>
          <w:sz w:val="22"/>
          <w:szCs w:val="22"/>
        </w:rPr>
        <w:t>05</w:t>
      </w:r>
      <w:r w:rsidR="000E553E" w:rsidRPr="00393D38">
        <w:rPr>
          <w:rFonts w:ascii="Garamond" w:hAnsi="Garamond"/>
          <w:sz w:val="22"/>
          <w:szCs w:val="22"/>
        </w:rPr>
        <w:t>.</w:t>
      </w:r>
      <w:r w:rsidR="000E553E" w:rsidRPr="00800297">
        <w:rPr>
          <w:rFonts w:ascii="Garamond" w:hAnsi="Garamond"/>
          <w:sz w:val="22"/>
          <w:szCs w:val="22"/>
        </w:rPr>
        <w:t>202</w:t>
      </w:r>
      <w:r w:rsidR="0044735A">
        <w:rPr>
          <w:rFonts w:ascii="Garamond" w:hAnsi="Garamond"/>
          <w:sz w:val="22"/>
          <w:szCs w:val="22"/>
        </w:rPr>
        <w:t>6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311F04AB" w14:textId="77777777" w:rsidR="00E51F60" w:rsidRPr="00B90D3A" w:rsidRDefault="00E51F60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AC91E0D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4092CB97" w14:textId="77777777" w:rsidR="00D07AEA" w:rsidRPr="00344BC8" w:rsidRDefault="00D07AEA" w:rsidP="00D07AEA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2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0FEDAB1A" w14:textId="49A4448B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</w:p>
    <w:p w14:paraId="2BC9C290" w14:textId="205F775E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09730CF2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64F1CF23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44735A" w:rsidRPr="0044735A">
              <w:rPr>
                <w:rFonts w:ascii="Garamond" w:hAnsi="Garamond"/>
                <w:b/>
                <w:bCs/>
                <w:sz w:val="20"/>
                <w:szCs w:val="16"/>
                <w:u w:val="single"/>
              </w:rPr>
              <w:t>Prístrešky na zastávkach MHD v</w:t>
            </w:r>
            <w:r w:rsidR="00E64D9B">
              <w:rPr>
                <w:rFonts w:ascii="Garamond" w:hAnsi="Garamond"/>
                <w:b/>
                <w:bCs/>
                <w:sz w:val="20"/>
                <w:szCs w:val="16"/>
                <w:u w:val="single"/>
              </w:rPr>
              <w:t> </w:t>
            </w:r>
            <w:r w:rsidR="0044735A" w:rsidRPr="0044735A">
              <w:rPr>
                <w:rFonts w:ascii="Garamond" w:hAnsi="Garamond"/>
                <w:b/>
                <w:bCs/>
                <w:sz w:val="20"/>
                <w:szCs w:val="16"/>
                <w:u w:val="single"/>
              </w:rPr>
              <w:t>Bratislave</w:t>
            </w:r>
            <w:r w:rsidR="00E64D9B">
              <w:rPr>
                <w:rFonts w:ascii="Garamond" w:hAnsi="Garamond"/>
                <w:b/>
                <w:bCs/>
                <w:sz w:val="20"/>
                <w:szCs w:val="16"/>
                <w:u w:val="single"/>
              </w:rPr>
              <w:t xml:space="preserve"> </w:t>
            </w:r>
            <w:r w:rsidR="00E64D9B" w:rsidRPr="00E64D9B">
              <w:rPr>
                <w:rFonts w:ascii="Garamond" w:hAnsi="Garamond"/>
                <w:b/>
                <w:bCs/>
                <w:sz w:val="20"/>
                <w:szCs w:val="16"/>
                <w:u w:val="single"/>
              </w:rPr>
              <w:t>v zmysle technických štandardov HMBA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2EFBF008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7675D891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E64D9B" w:rsidRPr="0044735A">
        <w:rPr>
          <w:rFonts w:ascii="Garamond" w:hAnsi="Garamond"/>
          <w:b/>
          <w:bCs/>
          <w:sz w:val="20"/>
          <w:szCs w:val="16"/>
          <w:u w:val="single"/>
        </w:rPr>
        <w:t>Prístrešky na zastávkach MHD v</w:t>
      </w:r>
      <w:r w:rsidR="00E64D9B">
        <w:rPr>
          <w:rFonts w:ascii="Garamond" w:hAnsi="Garamond"/>
          <w:b/>
          <w:bCs/>
          <w:sz w:val="20"/>
          <w:szCs w:val="16"/>
          <w:u w:val="single"/>
        </w:rPr>
        <w:t> </w:t>
      </w:r>
      <w:r w:rsidR="00E64D9B" w:rsidRPr="0044735A">
        <w:rPr>
          <w:rFonts w:ascii="Garamond" w:hAnsi="Garamond"/>
          <w:b/>
          <w:bCs/>
          <w:sz w:val="20"/>
          <w:szCs w:val="16"/>
          <w:u w:val="single"/>
        </w:rPr>
        <w:t>Bratislave</w:t>
      </w:r>
      <w:r w:rsidR="00E64D9B">
        <w:rPr>
          <w:rFonts w:ascii="Garamond" w:hAnsi="Garamond"/>
          <w:b/>
          <w:bCs/>
          <w:sz w:val="20"/>
          <w:szCs w:val="16"/>
          <w:u w:val="single"/>
        </w:rPr>
        <w:t xml:space="preserve"> </w:t>
      </w:r>
      <w:r w:rsidR="00E64D9B" w:rsidRPr="00E64D9B">
        <w:rPr>
          <w:rFonts w:ascii="Garamond" w:hAnsi="Garamond"/>
          <w:b/>
          <w:bCs/>
          <w:sz w:val="20"/>
          <w:szCs w:val="16"/>
          <w:u w:val="single"/>
        </w:rPr>
        <w:t>v zmysle technických štandardov HMBA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1AD529CD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1624" w14:textId="77777777" w:rsidR="009947D9" w:rsidRDefault="009947D9">
      <w:r>
        <w:separator/>
      </w:r>
    </w:p>
  </w:endnote>
  <w:endnote w:type="continuationSeparator" w:id="0">
    <w:p w14:paraId="52ECC5BB" w14:textId="77777777" w:rsidR="009947D9" w:rsidRDefault="0099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charset w:val="00"/>
    <w:family w:val="auto"/>
    <w:pitch w:val="variable"/>
    <w:sig w:usb0="20000287" w:usb1="00000001" w:usb2="00000000" w:usb3="00000000" w:csb0="0000019F" w:csb1="00000000"/>
  </w:font>
  <w:font w:name="Myriad Pro Cond">
    <w:altName w:val="Calibri"/>
    <w:charset w:val="00"/>
    <w:family w:val="auto"/>
    <w:pitch w:val="variable"/>
    <w:sig w:usb0="20000287" w:usb1="00000001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812A" w14:textId="77777777" w:rsidR="009947D9" w:rsidRDefault="009947D9">
      <w:r>
        <w:separator/>
      </w:r>
    </w:p>
  </w:footnote>
  <w:footnote w:type="continuationSeparator" w:id="0">
    <w:p w14:paraId="185F043C" w14:textId="77777777" w:rsidR="009947D9" w:rsidRDefault="009947D9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8"/>
  </w:num>
  <w:num w:numId="4" w16cid:durableId="1480222423">
    <w:abstractNumId w:val="4"/>
  </w:num>
  <w:num w:numId="5" w16cid:durableId="737174377">
    <w:abstractNumId w:val="20"/>
  </w:num>
  <w:num w:numId="6" w16cid:durableId="619804529">
    <w:abstractNumId w:val="15"/>
  </w:num>
  <w:num w:numId="7" w16cid:durableId="21370193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1"/>
  </w:num>
  <w:num w:numId="9" w16cid:durableId="159585570">
    <w:abstractNumId w:val="22"/>
  </w:num>
  <w:num w:numId="10" w16cid:durableId="1176917343">
    <w:abstractNumId w:val="12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10"/>
  </w:num>
  <w:num w:numId="16" w16cid:durableId="1068652590">
    <w:abstractNumId w:val="14"/>
  </w:num>
  <w:num w:numId="17" w16cid:durableId="1074084165">
    <w:abstractNumId w:val="2"/>
  </w:num>
  <w:num w:numId="18" w16cid:durableId="2066441154">
    <w:abstractNumId w:val="16"/>
  </w:num>
  <w:num w:numId="19" w16cid:durableId="1837450770">
    <w:abstractNumId w:val="17"/>
  </w:num>
  <w:num w:numId="20" w16cid:durableId="201721118">
    <w:abstractNumId w:val="19"/>
  </w:num>
  <w:num w:numId="21" w16cid:durableId="1859198921">
    <w:abstractNumId w:val="9"/>
  </w:num>
  <w:num w:numId="22" w16cid:durableId="512037607">
    <w:abstractNumId w:val="13"/>
  </w:num>
  <w:num w:numId="23" w16cid:durableId="136020250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209B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0680B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4B16"/>
    <w:rsid w:val="002E61B1"/>
    <w:rsid w:val="002F3E9C"/>
    <w:rsid w:val="0030399C"/>
    <w:rsid w:val="00304405"/>
    <w:rsid w:val="00304977"/>
    <w:rsid w:val="0030551F"/>
    <w:rsid w:val="003078D9"/>
    <w:rsid w:val="00312F5F"/>
    <w:rsid w:val="00317B76"/>
    <w:rsid w:val="00323424"/>
    <w:rsid w:val="003332B2"/>
    <w:rsid w:val="00336A30"/>
    <w:rsid w:val="00341B07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93D38"/>
    <w:rsid w:val="003A069D"/>
    <w:rsid w:val="003A367E"/>
    <w:rsid w:val="003A6513"/>
    <w:rsid w:val="003B3E5E"/>
    <w:rsid w:val="003B5B70"/>
    <w:rsid w:val="003C63E8"/>
    <w:rsid w:val="003C65F0"/>
    <w:rsid w:val="003D04E7"/>
    <w:rsid w:val="003D177B"/>
    <w:rsid w:val="003D1BEF"/>
    <w:rsid w:val="003D4E1B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35A"/>
    <w:rsid w:val="00447F4F"/>
    <w:rsid w:val="00453DBC"/>
    <w:rsid w:val="0045747D"/>
    <w:rsid w:val="0045750B"/>
    <w:rsid w:val="0045753F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3CE6"/>
    <w:rsid w:val="004D50CC"/>
    <w:rsid w:val="004E32F2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35C08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87F22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5A83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182C"/>
    <w:rsid w:val="00764FE0"/>
    <w:rsid w:val="00770D2B"/>
    <w:rsid w:val="007773C4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0297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47D9"/>
    <w:rsid w:val="009959AF"/>
    <w:rsid w:val="009A2F01"/>
    <w:rsid w:val="009A31F6"/>
    <w:rsid w:val="009B17CC"/>
    <w:rsid w:val="009B6226"/>
    <w:rsid w:val="009C7C13"/>
    <w:rsid w:val="009D0D8B"/>
    <w:rsid w:val="009D2185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26A20"/>
    <w:rsid w:val="00A30D7A"/>
    <w:rsid w:val="00A35936"/>
    <w:rsid w:val="00A3662B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7799C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18E0"/>
    <w:rsid w:val="00B12E58"/>
    <w:rsid w:val="00B21DBF"/>
    <w:rsid w:val="00B27519"/>
    <w:rsid w:val="00B27A2A"/>
    <w:rsid w:val="00B30FDE"/>
    <w:rsid w:val="00B3556C"/>
    <w:rsid w:val="00B36FD4"/>
    <w:rsid w:val="00B40187"/>
    <w:rsid w:val="00B414D1"/>
    <w:rsid w:val="00B429D7"/>
    <w:rsid w:val="00B533F6"/>
    <w:rsid w:val="00B54F8C"/>
    <w:rsid w:val="00B61FF4"/>
    <w:rsid w:val="00B625BB"/>
    <w:rsid w:val="00B666F4"/>
    <w:rsid w:val="00B66E5B"/>
    <w:rsid w:val="00B72795"/>
    <w:rsid w:val="00B72C24"/>
    <w:rsid w:val="00B76730"/>
    <w:rsid w:val="00B86258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86B"/>
    <w:rsid w:val="00C41BFB"/>
    <w:rsid w:val="00C4584A"/>
    <w:rsid w:val="00C45921"/>
    <w:rsid w:val="00C475D0"/>
    <w:rsid w:val="00C479D6"/>
    <w:rsid w:val="00C50F78"/>
    <w:rsid w:val="00C61DBE"/>
    <w:rsid w:val="00C61E74"/>
    <w:rsid w:val="00C620F4"/>
    <w:rsid w:val="00C650ED"/>
    <w:rsid w:val="00C66541"/>
    <w:rsid w:val="00C66C68"/>
    <w:rsid w:val="00C67605"/>
    <w:rsid w:val="00C70E73"/>
    <w:rsid w:val="00C7174F"/>
    <w:rsid w:val="00C80C56"/>
    <w:rsid w:val="00C82FB9"/>
    <w:rsid w:val="00C83B28"/>
    <w:rsid w:val="00C92487"/>
    <w:rsid w:val="00C95BBD"/>
    <w:rsid w:val="00CA17F3"/>
    <w:rsid w:val="00CA305A"/>
    <w:rsid w:val="00CA3ADB"/>
    <w:rsid w:val="00CA70BA"/>
    <w:rsid w:val="00CB08B7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6A53"/>
    <w:rsid w:val="00DA717B"/>
    <w:rsid w:val="00DB0062"/>
    <w:rsid w:val="00DB3F15"/>
    <w:rsid w:val="00DB4F32"/>
    <w:rsid w:val="00DC2EFC"/>
    <w:rsid w:val="00DC4541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0C1"/>
    <w:rsid w:val="00E470FF"/>
    <w:rsid w:val="00E5145A"/>
    <w:rsid w:val="00E5150F"/>
    <w:rsid w:val="00E51F60"/>
    <w:rsid w:val="00E5567D"/>
    <w:rsid w:val="00E60ABB"/>
    <w:rsid w:val="00E60D37"/>
    <w:rsid w:val="00E61BF3"/>
    <w:rsid w:val="00E64D9B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585"/>
    <w:rsid w:val="00F101D8"/>
    <w:rsid w:val="00F1041D"/>
    <w:rsid w:val="00F16EE1"/>
    <w:rsid w:val="00F17F48"/>
    <w:rsid w:val="00F20C11"/>
    <w:rsid w:val="00F2227B"/>
    <w:rsid w:val="00F31C16"/>
    <w:rsid w:val="00F33465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4566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12368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44</cp:revision>
  <cp:lastPrinted>2025-06-23T15:46:00Z</cp:lastPrinted>
  <dcterms:created xsi:type="dcterms:W3CDTF">2023-07-07T08:41:00Z</dcterms:created>
  <dcterms:modified xsi:type="dcterms:W3CDTF">2026-05-27T22:18:00Z</dcterms:modified>
</cp:coreProperties>
</file>