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E38A74" w14:textId="77777777" w:rsidR="0092732F" w:rsidRDefault="0092732F" w:rsidP="0092732F">
      <w:pPr>
        <w:rPr>
          <w:b/>
          <w:u w:val="single"/>
        </w:rPr>
      </w:pPr>
      <w:r w:rsidRPr="00112355">
        <w:rPr>
          <w:b/>
          <w:u w:val="single"/>
        </w:rPr>
        <w:t>Názov predmetu zákazky:</w:t>
      </w:r>
      <w:bookmarkStart w:id="0" w:name="_GoBack"/>
      <w:bookmarkEnd w:id="0"/>
    </w:p>
    <w:p w14:paraId="14435EE2" w14:textId="21FDAEDF" w:rsidR="0092732F" w:rsidRDefault="0092732F" w:rsidP="0092732F">
      <w:r w:rsidRPr="00112355">
        <w:t>,,</w:t>
      </w:r>
      <w:r w:rsidR="00051B2A">
        <w:t>Nákup bezdrôtovej závesnej žeriavovej váhy</w:t>
      </w:r>
      <w:r w:rsidRPr="00112355">
        <w:t>“</w:t>
      </w:r>
    </w:p>
    <w:p w14:paraId="779BB64D" w14:textId="77777777" w:rsidR="0092732F" w:rsidRDefault="0092732F" w:rsidP="0092732F">
      <w:pPr>
        <w:rPr>
          <w:b/>
          <w:u w:val="single"/>
        </w:rPr>
      </w:pPr>
      <w:r w:rsidRPr="00112355">
        <w:rPr>
          <w:b/>
          <w:u w:val="single"/>
        </w:rPr>
        <w:t>Opis predmetu zákazky, technické požiadavky:</w:t>
      </w:r>
    </w:p>
    <w:p w14:paraId="2BAD9CA3" w14:textId="3E059837" w:rsidR="0092732F" w:rsidRDefault="006525AE" w:rsidP="0092732F">
      <w:r w:rsidRPr="006525AE">
        <w:t>Predmetom zákazky je nákup bez</w:t>
      </w:r>
      <w:r w:rsidR="00051B2A">
        <w:t>drôtovej závesnej</w:t>
      </w:r>
      <w:r>
        <w:t xml:space="preserve"> </w:t>
      </w:r>
      <w:r w:rsidR="00051B2A">
        <w:t>žeriavovej váhy</w:t>
      </w:r>
      <w:r>
        <w:t xml:space="preserve"> n</w:t>
      </w:r>
      <w:r w:rsidRPr="006525AE">
        <w:t>a pre presné merani</w:t>
      </w:r>
      <w:r>
        <w:t>e síl a hmotností</w:t>
      </w:r>
      <w:r w:rsidRPr="006525AE">
        <w:t>. Zariadenie bude slúžiť na váženie bremien pomocou žeriavov a na presné</w:t>
      </w:r>
      <w:r w:rsidR="00B76995">
        <w:t xml:space="preserve"> meranie ťažných síl</w:t>
      </w:r>
      <w:r w:rsidRPr="006525AE">
        <w:t>.</w:t>
      </w:r>
      <w:r>
        <w:t xml:space="preserve"> </w:t>
      </w:r>
      <w:r w:rsidR="00051B2A">
        <w:t>Váha</w:t>
      </w:r>
      <w:r>
        <w:t xml:space="preserve"> bude</w:t>
      </w:r>
      <w:r w:rsidR="00FB56B0">
        <w:t xml:space="preserve"> slúžiť</w:t>
      </w:r>
      <w:r w:rsidR="00BD6A0D">
        <w:t xml:space="preserve"> pre potreby Hasičského a záchranného zboru Ministerstva vn</w:t>
      </w:r>
      <w:r w:rsidR="00011077">
        <w:t>útra Slovenskej republiky a bude</w:t>
      </w:r>
      <w:r>
        <w:t xml:space="preserve"> využit</w:t>
      </w:r>
      <w:r w:rsidR="0090062E">
        <w:t>á</w:t>
      </w:r>
      <w:r w:rsidR="00011077">
        <w:t xml:space="preserve"> najmä</w:t>
      </w:r>
      <w:r w:rsidR="00FB56B0">
        <w:t xml:space="preserve"> pri</w:t>
      </w:r>
      <w:r w:rsidR="00011077">
        <w:t xml:space="preserve"> </w:t>
      </w:r>
      <w:r>
        <w:t>výcviku strojníkov a pri špeciálnych zásahoch.</w:t>
      </w:r>
    </w:p>
    <w:p w14:paraId="3E5EEC03" w14:textId="77975E1F" w:rsidR="0092732F" w:rsidRDefault="00051B2A" w:rsidP="0092732F">
      <w:r>
        <w:t>Váhy budú</w:t>
      </w:r>
      <w:r w:rsidR="00FB56B0">
        <w:t xml:space="preserve"> používané</w:t>
      </w:r>
      <w:r w:rsidR="0092732F">
        <w:t xml:space="preserve"> v súlade s </w:t>
      </w:r>
      <w:r w:rsidR="00BD6A0D">
        <w:t xml:space="preserve">§ 3 zákona č. 315/2001 Z. z. </w:t>
      </w:r>
      <w:r w:rsidR="00FB56B0">
        <w:t xml:space="preserve">o Hasičskom a záchrannom zbore. </w:t>
      </w:r>
      <w:r>
        <w:t>Bezdrôtová závesná žeriavová váha</w:t>
      </w:r>
      <w:r w:rsidR="006525AE">
        <w:t xml:space="preserve"> musí</w:t>
      </w:r>
      <w:r w:rsidR="00011077">
        <w:t xml:space="preserve"> </w:t>
      </w:r>
      <w:r w:rsidR="0092732F">
        <w:t xml:space="preserve">spĺňať kvalitu na </w:t>
      </w:r>
      <w:r w:rsidR="0092732F" w:rsidRPr="00AE3DE6">
        <w:rPr>
          <w:u w:val="single"/>
        </w:rPr>
        <w:t>profesionálne použitie</w:t>
      </w:r>
      <w:r w:rsidR="0092732F">
        <w:t>.</w:t>
      </w:r>
    </w:p>
    <w:p w14:paraId="5A90FDEA" w14:textId="77777777" w:rsidR="008C7553" w:rsidRPr="00EA3DE2" w:rsidRDefault="0092732F">
      <w:pPr>
        <w:rPr>
          <w:b/>
          <w:u w:val="single"/>
        </w:rPr>
      </w:pPr>
      <w:r w:rsidRPr="00EA3DE2">
        <w:rPr>
          <w:b/>
          <w:u w:val="single"/>
        </w:rPr>
        <w:t>Parametre predmetu zákazky</w:t>
      </w:r>
    </w:p>
    <w:tbl>
      <w:tblPr>
        <w:tblW w:w="893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686"/>
        <w:gridCol w:w="3969"/>
      </w:tblGrid>
      <w:tr w:rsidR="0090062E" w14:paraId="01B8AFC4" w14:textId="77777777" w:rsidTr="0097351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0769D726" w14:textId="77777777" w:rsidR="0090062E" w:rsidRPr="0092732F" w:rsidRDefault="0090062E" w:rsidP="00231A3F">
            <w:pPr>
              <w:spacing w:after="0"/>
              <w:rPr>
                <w:rFonts w:cs="Times New Roman"/>
                <w:b/>
              </w:rPr>
            </w:pPr>
            <w:r w:rsidRPr="0092732F">
              <w:rPr>
                <w:rFonts w:cs="Times New Roman"/>
                <w:b/>
              </w:rPr>
              <w:t>Požiadavka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026F77D1" w14:textId="77777777" w:rsidR="0090062E" w:rsidRPr="0092732F" w:rsidRDefault="0090062E" w:rsidP="00B75923">
            <w:pPr>
              <w:rPr>
                <w:rFonts w:cs="Times New Roman"/>
                <w:b/>
              </w:rPr>
            </w:pPr>
            <w:r w:rsidRPr="0092732F">
              <w:rPr>
                <w:rFonts w:cs="Times New Roman"/>
                <w:b/>
              </w:rPr>
              <w:t>Požadovaná technická špecifikácia, parametre a funkcionality</w:t>
            </w:r>
          </w:p>
        </w:tc>
        <w:tc>
          <w:tcPr>
            <w:tcW w:w="396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B3B3B3"/>
          </w:tcPr>
          <w:p w14:paraId="410DE0EB" w14:textId="4F48947D" w:rsidR="0090062E" w:rsidRDefault="0090062E" w:rsidP="0090062E">
            <w:pPr>
              <w:spacing w:after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Vlastný návrh plnenie </w:t>
            </w:r>
          </w:p>
          <w:p w14:paraId="2E755BE0" w14:textId="150FF9BE" w:rsidR="0090062E" w:rsidRDefault="0090062E" w:rsidP="0090062E">
            <w:pPr>
              <w:spacing w:after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(</w:t>
            </w:r>
            <w:r w:rsidR="000324F5" w:rsidRPr="000324F5">
              <w:rPr>
                <w:rFonts w:cs="Times New Roman"/>
                <w:b/>
                <w:highlight w:val="yellow"/>
              </w:rPr>
              <w:t>vyplní uchádzač</w:t>
            </w:r>
            <w:r w:rsidR="000324F5">
              <w:rPr>
                <w:rFonts w:cs="Times New Roman"/>
                <w:b/>
              </w:rPr>
              <w:t>)</w:t>
            </w:r>
          </w:p>
          <w:p w14:paraId="3880DCD9" w14:textId="5DBDFB87" w:rsidR="0090062E" w:rsidRPr="0092732F" w:rsidRDefault="000324F5" w:rsidP="00DA0C42">
            <w:pPr>
              <w:spacing w:after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Požaduje sa uviesť skutočnú špecifikáciu ponúkaného predmetu zákazky </w:t>
            </w:r>
            <w:r w:rsidR="00DA0C42">
              <w:rPr>
                <w:rFonts w:cs="Times New Roman"/>
                <w:b/>
              </w:rPr>
              <w:t>(</w:t>
            </w:r>
            <w:r>
              <w:rPr>
                <w:rFonts w:cs="Times New Roman"/>
                <w:b/>
              </w:rPr>
              <w:t xml:space="preserve">technické </w:t>
            </w:r>
            <w:r w:rsidR="00DA0C42">
              <w:rPr>
                <w:rFonts w:cs="Times New Roman"/>
                <w:b/>
              </w:rPr>
              <w:t xml:space="preserve">parametre, uviesť áno/nie, v prípade číselnej hodnoty uviesť  skutočnú hodnotu) </w:t>
            </w:r>
          </w:p>
        </w:tc>
      </w:tr>
      <w:tr w:rsidR="0090062E" w14:paraId="066A1D09" w14:textId="77777777" w:rsidTr="0097351A">
        <w:trPr>
          <w:trHeight w:val="255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2CDE95DD" w14:textId="3DF5F8C1" w:rsidR="0090062E" w:rsidRPr="0090062E" w:rsidRDefault="0090062E" w:rsidP="00B75923">
            <w:pPr>
              <w:rPr>
                <w:rFonts w:cs="Times New Roman"/>
                <w:b/>
                <w:sz w:val="24"/>
              </w:rPr>
            </w:pPr>
            <w:r>
              <w:rPr>
                <w:rFonts w:cs="Times New Roman"/>
                <w:b/>
                <w:sz w:val="24"/>
              </w:rPr>
              <w:t xml:space="preserve">Položka č. 1 – Bezdrôtová závesná žeriavová váha 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</w:tcPr>
          <w:p w14:paraId="722812E7" w14:textId="77777777" w:rsidR="0090062E" w:rsidRPr="0092732F" w:rsidRDefault="0090062E" w:rsidP="00B75923">
            <w:pPr>
              <w:rPr>
                <w:rFonts w:cs="Times New Roman"/>
                <w:b/>
              </w:rPr>
            </w:pPr>
          </w:p>
        </w:tc>
      </w:tr>
      <w:tr w:rsidR="0090062E" w14:paraId="68031072" w14:textId="77777777" w:rsidTr="00DA0C42">
        <w:trPr>
          <w:trHeight w:val="503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500C3B7D" w14:textId="4744D76B" w:rsidR="0090062E" w:rsidRPr="0090062E" w:rsidRDefault="0090062E" w:rsidP="00231A3F">
            <w:pPr>
              <w:spacing w:after="0"/>
              <w:rPr>
                <w:rFonts w:cs="Times New Roman"/>
                <w:b/>
                <w:sz w:val="24"/>
              </w:rPr>
            </w:pPr>
            <w:r>
              <w:rPr>
                <w:rFonts w:cs="Times New Roman"/>
                <w:b/>
                <w:sz w:val="24"/>
              </w:rPr>
              <w:t xml:space="preserve">Množstvo: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00531689" w14:textId="07B0BB7F" w:rsidR="0090062E" w:rsidRPr="0090062E" w:rsidRDefault="0090062E" w:rsidP="00B75923">
            <w:pPr>
              <w:rPr>
                <w:rFonts w:cs="Times New Roman"/>
                <w:b/>
                <w:sz w:val="24"/>
              </w:rPr>
            </w:pPr>
            <w:r>
              <w:rPr>
                <w:rFonts w:cs="Times New Roman"/>
                <w:b/>
                <w:sz w:val="24"/>
              </w:rPr>
              <w:t>2 ks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3B3B3"/>
          </w:tcPr>
          <w:p w14:paraId="0E943D5F" w14:textId="77777777" w:rsidR="0090062E" w:rsidRPr="0092732F" w:rsidRDefault="0090062E" w:rsidP="00B75923">
            <w:pPr>
              <w:rPr>
                <w:rFonts w:cs="Times New Roman"/>
                <w:b/>
              </w:rPr>
            </w:pPr>
          </w:p>
        </w:tc>
      </w:tr>
      <w:tr w:rsidR="00DA0C42" w14:paraId="37D0E18B" w14:textId="77777777" w:rsidTr="00364FE0"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BCFCD8" w14:textId="3E2B526B" w:rsidR="00DA0C42" w:rsidRPr="0090062E" w:rsidRDefault="00DA0C42" w:rsidP="0090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V ý r o b c a: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A3CC14F" w14:textId="77777777" w:rsidR="00DA0C42" w:rsidRPr="0092732F" w:rsidRDefault="00DA0C42" w:rsidP="00AC739A">
            <w:pPr>
              <w:jc w:val="both"/>
            </w:pPr>
          </w:p>
        </w:tc>
      </w:tr>
      <w:tr w:rsidR="00DA0C42" w14:paraId="6EA849C7" w14:textId="77777777" w:rsidTr="00E66E98"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91F681" w14:textId="08ED8B02" w:rsidR="00DA0C42" w:rsidRPr="0090062E" w:rsidRDefault="00DA0C42" w:rsidP="0090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 y p o v é   o z n a č e n i e: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9AA8B22" w14:textId="2CAD675C" w:rsidR="00DA0C42" w:rsidRPr="0092732F" w:rsidRDefault="00DA0C42" w:rsidP="00AC739A">
            <w:pPr>
              <w:jc w:val="both"/>
            </w:pPr>
          </w:p>
        </w:tc>
      </w:tr>
      <w:tr w:rsidR="00DA0C42" w14:paraId="1BBE9224" w14:textId="77777777" w:rsidTr="00E66E98"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C3F564" w14:textId="5F7CAC80" w:rsidR="00DA0C42" w:rsidRDefault="00DA0C42" w:rsidP="0090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O b r á z o k – žiadame uchádzača vložiť fotografiu resp. </w:t>
            </w:r>
            <w:proofErr w:type="spellStart"/>
            <w:r>
              <w:rPr>
                <w:rFonts w:cs="Times New Roman"/>
                <w:b/>
              </w:rPr>
              <w:t>link</w:t>
            </w:r>
            <w:proofErr w:type="spellEnd"/>
            <w:r>
              <w:rPr>
                <w:rFonts w:cs="Times New Roman"/>
                <w:b/>
              </w:rPr>
              <w:t xml:space="preserve"> na ponúkaný predmet obstarávania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B9E674C" w14:textId="77777777" w:rsidR="00DA0C42" w:rsidRDefault="00DA0C42" w:rsidP="00AC739A">
            <w:pPr>
              <w:jc w:val="both"/>
            </w:pPr>
          </w:p>
          <w:p w14:paraId="7CA9DE35" w14:textId="50E92788" w:rsidR="00DA0C42" w:rsidRPr="0092732F" w:rsidRDefault="00DA0C42" w:rsidP="00AC739A">
            <w:pPr>
              <w:jc w:val="both"/>
            </w:pPr>
          </w:p>
        </w:tc>
      </w:tr>
      <w:tr w:rsidR="00DA0C42" w14:paraId="1C415537" w14:textId="77777777" w:rsidTr="00E66E98"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6485300" w14:textId="16542567" w:rsidR="00DA0C42" w:rsidRPr="00193E51" w:rsidRDefault="00DA0C42" w:rsidP="00193E51">
            <w:pPr>
              <w:pStyle w:val="Odsekzoznamu"/>
              <w:widowControl w:val="0"/>
              <w:numPr>
                <w:ilvl w:val="1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193E51">
              <w:rPr>
                <w:rFonts w:cs="Times New Roman"/>
              </w:rPr>
              <w:t>Materiál: Vysokopevnostná oceľ s niklovou povrchovou úpravou, alebo ekvivalent.</w:t>
            </w:r>
          </w:p>
          <w:p w14:paraId="311B56C3" w14:textId="77777777" w:rsidR="00DA0C42" w:rsidRDefault="00DA0C42" w:rsidP="0090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0DC3DF3" w14:textId="77777777" w:rsidR="00DA0C42" w:rsidRPr="0092732F" w:rsidRDefault="00DA0C42" w:rsidP="00AC739A">
            <w:pPr>
              <w:jc w:val="both"/>
            </w:pPr>
          </w:p>
        </w:tc>
      </w:tr>
      <w:tr w:rsidR="00DA0C42" w14:paraId="60740ECE" w14:textId="77777777" w:rsidTr="00E66E98"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8C2AC1A" w14:textId="0EB5028C" w:rsidR="00DA0C42" w:rsidRPr="00193E51" w:rsidRDefault="00DA0C42" w:rsidP="00193E51">
            <w:pPr>
              <w:pStyle w:val="Odsekzoznamu"/>
              <w:widowControl w:val="0"/>
              <w:numPr>
                <w:ilvl w:val="1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193E51">
              <w:rPr>
                <w:rFonts w:cs="Times New Roman"/>
              </w:rPr>
              <w:t>IP krytie: Minimálne IP67</w:t>
            </w:r>
          </w:p>
          <w:p w14:paraId="1D733925" w14:textId="2F1A6DA2" w:rsidR="00DA0C42" w:rsidRPr="00DA0C42" w:rsidRDefault="00DA0C42" w:rsidP="0090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864072C" w14:textId="77777777" w:rsidR="00DA0C42" w:rsidRPr="0092732F" w:rsidRDefault="00DA0C42" w:rsidP="00AC739A">
            <w:pPr>
              <w:jc w:val="both"/>
            </w:pPr>
          </w:p>
        </w:tc>
      </w:tr>
      <w:tr w:rsidR="00DA0C42" w14:paraId="336A3463" w14:textId="77777777" w:rsidTr="00E66E98"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E10DBB7" w14:textId="7D5D0483" w:rsidR="00DA0C42" w:rsidRPr="00DA0C42" w:rsidRDefault="00DA0C42" w:rsidP="00193E51">
            <w:pPr>
              <w:pStyle w:val="Odsekzoznamu"/>
              <w:widowControl w:val="0"/>
              <w:numPr>
                <w:ilvl w:val="1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DA0C42">
              <w:rPr>
                <w:rFonts w:cs="Times New Roman"/>
              </w:rPr>
              <w:t>Rozsah merania: min. 30 ton</w:t>
            </w:r>
          </w:p>
          <w:p w14:paraId="5F68DD49" w14:textId="77777777" w:rsidR="00DA0C42" w:rsidRDefault="00DA0C42" w:rsidP="0090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4FE1B4D" w14:textId="77777777" w:rsidR="00DA0C42" w:rsidRPr="0092732F" w:rsidRDefault="00DA0C42" w:rsidP="00AC739A">
            <w:pPr>
              <w:jc w:val="both"/>
            </w:pPr>
          </w:p>
        </w:tc>
      </w:tr>
      <w:tr w:rsidR="00DA0C42" w14:paraId="3C26A1C8" w14:textId="77777777" w:rsidTr="00E66E98"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855E8DE" w14:textId="71D8E1AC" w:rsidR="00DA0C42" w:rsidRPr="00193E51" w:rsidRDefault="00DA0C42" w:rsidP="00193E51">
            <w:pPr>
              <w:pStyle w:val="Odsekzoznamu"/>
              <w:widowControl w:val="0"/>
              <w:numPr>
                <w:ilvl w:val="1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193E51">
              <w:rPr>
                <w:rFonts w:cs="Times New Roman"/>
                <w:b/>
              </w:rPr>
              <w:t xml:space="preserve"> </w:t>
            </w:r>
            <w:r w:rsidRPr="00193E51">
              <w:rPr>
                <w:rFonts w:cs="Times New Roman"/>
              </w:rPr>
              <w:t>Presnosť merania: maximálna odchýlka 0,05 %</w:t>
            </w:r>
          </w:p>
          <w:p w14:paraId="3CAFF0A9" w14:textId="43E7F19D" w:rsidR="00DA0C42" w:rsidRDefault="00DA0C42" w:rsidP="0090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4B057D7" w14:textId="77777777" w:rsidR="00DA0C42" w:rsidRPr="0092732F" w:rsidRDefault="00DA0C42" w:rsidP="00AC739A">
            <w:pPr>
              <w:jc w:val="both"/>
            </w:pPr>
          </w:p>
        </w:tc>
      </w:tr>
      <w:tr w:rsidR="00DA0C42" w14:paraId="3216FE1E" w14:textId="77777777" w:rsidTr="00E66E98"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B756C1" w14:textId="68FD8FC3" w:rsidR="00193E51" w:rsidRPr="00193E51" w:rsidRDefault="00193E51" w:rsidP="00193E51">
            <w:pPr>
              <w:pStyle w:val="Odsekzoznamu"/>
              <w:widowControl w:val="0"/>
              <w:numPr>
                <w:ilvl w:val="1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193E51">
              <w:rPr>
                <w:rFonts w:cs="Times New Roman"/>
              </w:rPr>
              <w:t xml:space="preserve">Meracie jednotky: kilogramy (kg), krátke tony (t), </w:t>
            </w:r>
            <w:r w:rsidRPr="00193E51">
              <w:rPr>
                <w:rFonts w:cs="Times New Roman"/>
              </w:rPr>
              <w:t xml:space="preserve">  </w:t>
            </w:r>
          </w:p>
          <w:p w14:paraId="5CB152AF" w14:textId="26732BAD" w:rsidR="00193E51" w:rsidRPr="00193E51" w:rsidRDefault="00193E51" w:rsidP="00193E51">
            <w:pPr>
              <w:pStyle w:val="Odsekzoznamu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cs="Times New Roman"/>
              </w:rPr>
            </w:pPr>
            <w:r w:rsidRPr="00193E51">
              <w:rPr>
                <w:rFonts w:cs="Times New Roman"/>
              </w:rPr>
              <w:t xml:space="preserve">Newtony (N) a </w:t>
            </w:r>
            <w:r w:rsidRPr="00193E51">
              <w:rPr>
                <w:rFonts w:cs="Times New Roman"/>
              </w:rPr>
              <w:t>kilo newtony</w:t>
            </w:r>
            <w:r w:rsidRPr="00193E51">
              <w:rPr>
                <w:rFonts w:cs="Times New Roman"/>
              </w:rPr>
              <w:t xml:space="preserve"> (</w:t>
            </w:r>
            <w:proofErr w:type="spellStart"/>
            <w:r w:rsidRPr="00193E51">
              <w:rPr>
                <w:rFonts w:cs="Times New Roman"/>
              </w:rPr>
              <w:t>kN</w:t>
            </w:r>
            <w:proofErr w:type="spellEnd"/>
            <w:r w:rsidRPr="00193E51">
              <w:rPr>
                <w:rFonts w:cs="Times New Roman"/>
              </w:rPr>
              <w:t>)</w:t>
            </w:r>
          </w:p>
          <w:p w14:paraId="311944DB" w14:textId="77777777" w:rsidR="00DA0C42" w:rsidRDefault="00DA0C42" w:rsidP="0090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1735F2D" w14:textId="77777777" w:rsidR="00DA0C42" w:rsidRPr="0092732F" w:rsidRDefault="00DA0C42" w:rsidP="00AC739A">
            <w:pPr>
              <w:jc w:val="both"/>
            </w:pPr>
          </w:p>
        </w:tc>
      </w:tr>
      <w:tr w:rsidR="00DA0C42" w14:paraId="06C4B4DE" w14:textId="77777777" w:rsidTr="00E66E98"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4A5BFFF" w14:textId="77777777" w:rsidR="00193E51" w:rsidRDefault="00193E51" w:rsidP="00193E51">
            <w:pPr>
              <w:pStyle w:val="Odsekzoznamu"/>
              <w:widowControl w:val="0"/>
              <w:numPr>
                <w:ilvl w:val="1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Strmene: v</w:t>
            </w:r>
            <w:r w:rsidRPr="006525AE">
              <w:rPr>
                <w:rFonts w:cs="Times New Roman"/>
              </w:rPr>
              <w:t>ysokopevnostné kotviace strmene typu G2130 s galvanizovanou povrchovou úpravou</w:t>
            </w:r>
            <w:r>
              <w:rPr>
                <w:rFonts w:cs="Times New Roman"/>
              </w:rPr>
              <w:t xml:space="preserve"> – 2 ks</w:t>
            </w:r>
          </w:p>
          <w:p w14:paraId="371F844A" w14:textId="77777777" w:rsidR="00DA0C42" w:rsidRDefault="00DA0C42" w:rsidP="0090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F22D7FC" w14:textId="77777777" w:rsidR="00DA0C42" w:rsidRPr="0092732F" w:rsidRDefault="00DA0C42" w:rsidP="00AC739A">
            <w:pPr>
              <w:jc w:val="both"/>
            </w:pPr>
          </w:p>
        </w:tc>
      </w:tr>
      <w:tr w:rsidR="00DA0C42" w14:paraId="02B49935" w14:textId="77777777" w:rsidTr="00E66E98"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961BF2" w14:textId="64D68C10" w:rsidR="00193E51" w:rsidRDefault="00193E51" w:rsidP="00193E51">
            <w:pPr>
              <w:pStyle w:val="Odsekzoznamu"/>
              <w:widowControl w:val="0"/>
              <w:numPr>
                <w:ilvl w:val="1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6525AE">
              <w:rPr>
                <w:rFonts w:cs="Times New Roman"/>
              </w:rPr>
              <w:t xml:space="preserve">Funkcie: Nulovanie, </w:t>
            </w:r>
            <w:proofErr w:type="spellStart"/>
            <w:r w:rsidRPr="006525AE">
              <w:rPr>
                <w:rFonts w:cs="Times New Roman"/>
              </w:rPr>
              <w:t>tárovanie</w:t>
            </w:r>
            <w:proofErr w:type="spellEnd"/>
            <w:r w:rsidRPr="006525AE">
              <w:rPr>
                <w:rFonts w:cs="Times New Roman"/>
              </w:rPr>
              <w:t>, upozornenie na nízku batériu, podržanie maximálnej hodnoty (</w:t>
            </w:r>
            <w:r w:rsidRPr="006525AE">
              <w:rPr>
                <w:rFonts w:cs="Times New Roman"/>
              </w:rPr>
              <w:t>Peak</w:t>
            </w:r>
            <w:r w:rsidRPr="006525AE">
              <w:rPr>
                <w:rFonts w:cs="Times New Roman"/>
              </w:rPr>
              <w:t xml:space="preserve"> hold), upozornenie na preťaženie, užívateľská kalibrácia chránená heslom</w:t>
            </w:r>
          </w:p>
          <w:p w14:paraId="1974FC94" w14:textId="77777777" w:rsidR="00DA0C42" w:rsidRDefault="00DA0C42" w:rsidP="0090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80A6AEB" w14:textId="77777777" w:rsidR="00DA0C42" w:rsidRPr="0092732F" w:rsidRDefault="00DA0C42" w:rsidP="00AC739A">
            <w:pPr>
              <w:jc w:val="both"/>
            </w:pPr>
          </w:p>
        </w:tc>
      </w:tr>
      <w:tr w:rsidR="00DA0C42" w14:paraId="5C1172E1" w14:textId="77777777" w:rsidTr="00E66E98"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6AB9533" w14:textId="77777777" w:rsidR="00193E51" w:rsidRDefault="00193E51" w:rsidP="00193E51">
            <w:pPr>
              <w:pStyle w:val="Odsekzoznamu"/>
              <w:widowControl w:val="0"/>
              <w:numPr>
                <w:ilvl w:val="1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6525AE">
              <w:rPr>
                <w:rFonts w:cs="Times New Roman"/>
              </w:rPr>
              <w:t>Nastaviteľné hodnoty: Dva programovateľné Set-Pointy použiteľné pre bezpečnostné a varovné aplikácie alebo pre kontrolu limitnej hmotnosti</w:t>
            </w:r>
          </w:p>
          <w:p w14:paraId="656645F1" w14:textId="77777777" w:rsidR="00DA0C42" w:rsidRDefault="00DA0C42" w:rsidP="0090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F961788" w14:textId="77777777" w:rsidR="00DA0C42" w:rsidRPr="0092732F" w:rsidRDefault="00DA0C42" w:rsidP="00AC739A">
            <w:pPr>
              <w:jc w:val="both"/>
            </w:pPr>
          </w:p>
        </w:tc>
      </w:tr>
      <w:tr w:rsidR="00DA0C42" w14:paraId="151F8321" w14:textId="77777777" w:rsidTr="00E66E98"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BA14F6" w14:textId="77777777" w:rsidR="00193E51" w:rsidRDefault="00193E51" w:rsidP="00193E51">
            <w:pPr>
              <w:pStyle w:val="Odsekzoznamu"/>
              <w:widowControl w:val="0"/>
              <w:numPr>
                <w:ilvl w:val="1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Súčasťou dodávky musí byť b</w:t>
            </w:r>
            <w:r w:rsidRPr="006525AE">
              <w:rPr>
                <w:rFonts w:cs="Times New Roman"/>
              </w:rPr>
              <w:t>ezdrôtový ručný indikát</w:t>
            </w:r>
            <w:r>
              <w:rPr>
                <w:rFonts w:cs="Times New Roman"/>
              </w:rPr>
              <w:t>or s podsvieteným LCD displejom</w:t>
            </w:r>
          </w:p>
          <w:p w14:paraId="2470FD9A" w14:textId="77777777" w:rsidR="00DA0C42" w:rsidRDefault="00DA0C42" w:rsidP="0090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DBDCAF3" w14:textId="77777777" w:rsidR="00DA0C42" w:rsidRPr="0092732F" w:rsidRDefault="00DA0C42" w:rsidP="00AC739A">
            <w:pPr>
              <w:jc w:val="both"/>
            </w:pPr>
          </w:p>
        </w:tc>
      </w:tr>
      <w:tr w:rsidR="00DA0C42" w14:paraId="48169BA5" w14:textId="77777777" w:rsidTr="00E66E98"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412E73" w14:textId="77777777" w:rsidR="00193E51" w:rsidRDefault="00193E51" w:rsidP="00193E51">
            <w:pPr>
              <w:pStyle w:val="Odsekzoznamu"/>
              <w:widowControl w:val="0"/>
              <w:numPr>
                <w:ilvl w:val="1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6525AE">
              <w:rPr>
                <w:rFonts w:cs="Times New Roman"/>
              </w:rPr>
              <w:t>Dosah bezdrôtového prenosu: minimálne 50 metrov v otvorenom priestore</w:t>
            </w:r>
          </w:p>
          <w:p w14:paraId="74F63AF6" w14:textId="77777777" w:rsidR="00DA0C42" w:rsidRDefault="00DA0C42" w:rsidP="0090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540F57E" w14:textId="77777777" w:rsidR="00DA0C42" w:rsidRPr="0092732F" w:rsidRDefault="00DA0C42" w:rsidP="00AC739A">
            <w:pPr>
              <w:jc w:val="both"/>
            </w:pPr>
          </w:p>
        </w:tc>
      </w:tr>
      <w:tr w:rsidR="00DA0C42" w14:paraId="2836B973" w14:textId="77777777" w:rsidTr="00E66E98"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D83577" w14:textId="77777777" w:rsidR="00193E51" w:rsidRDefault="00193E51" w:rsidP="00193E51">
            <w:pPr>
              <w:pStyle w:val="Odsekzoznamu"/>
              <w:widowControl w:val="0"/>
              <w:numPr>
                <w:ilvl w:val="1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Napájanie</w:t>
            </w:r>
            <w:r w:rsidRPr="006525AE">
              <w:rPr>
                <w:rFonts w:cs="Times New Roman"/>
              </w:rPr>
              <w:t>: vymeniteľná lítiová</w:t>
            </w:r>
            <w:r>
              <w:rPr>
                <w:rFonts w:cs="Times New Roman"/>
              </w:rPr>
              <w:t xml:space="preserve"> batéria, alebo alkalické batérie, minimálna doba prevádzky 30 hodín</w:t>
            </w:r>
          </w:p>
          <w:p w14:paraId="265DDD9D" w14:textId="77777777" w:rsidR="00DA0C42" w:rsidRDefault="00DA0C42" w:rsidP="0090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A0B8D40" w14:textId="77777777" w:rsidR="00DA0C42" w:rsidRPr="0092732F" w:rsidRDefault="00DA0C42" w:rsidP="00AC739A">
            <w:pPr>
              <w:jc w:val="both"/>
            </w:pPr>
          </w:p>
        </w:tc>
      </w:tr>
      <w:tr w:rsidR="00DA0C42" w14:paraId="3D31BF9E" w14:textId="77777777" w:rsidTr="00E66E98"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A30F173" w14:textId="77777777" w:rsidR="00193E51" w:rsidRDefault="00193E51" w:rsidP="00193E51">
            <w:pPr>
              <w:pStyle w:val="Odsekzoznamu"/>
              <w:widowControl w:val="0"/>
              <w:numPr>
                <w:ilvl w:val="1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6525AE">
              <w:rPr>
                <w:rFonts w:cs="Times New Roman"/>
              </w:rPr>
              <w:t>Prevádzková teplota: od -10 °C do +50 °C</w:t>
            </w:r>
          </w:p>
          <w:p w14:paraId="56754B84" w14:textId="77777777" w:rsidR="00DA0C42" w:rsidRDefault="00DA0C42" w:rsidP="0090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CDEDF84" w14:textId="77777777" w:rsidR="00DA0C42" w:rsidRPr="0092732F" w:rsidRDefault="00DA0C42" w:rsidP="00AC739A">
            <w:pPr>
              <w:jc w:val="both"/>
            </w:pPr>
          </w:p>
        </w:tc>
      </w:tr>
      <w:tr w:rsidR="00DA0C42" w14:paraId="33339E0C" w14:textId="77777777" w:rsidTr="00E66E98"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79EB48" w14:textId="77777777" w:rsidR="00193E51" w:rsidRDefault="00193E51" w:rsidP="00193E51">
            <w:pPr>
              <w:pStyle w:val="Odsekzoznamu"/>
              <w:widowControl w:val="0"/>
              <w:numPr>
                <w:ilvl w:val="1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Musí byť d</w:t>
            </w:r>
            <w:r w:rsidRPr="006525AE">
              <w:rPr>
                <w:rFonts w:cs="Times New Roman"/>
              </w:rPr>
              <w:t>odávané s prenosným kufríkom pre bezpečný transport</w:t>
            </w:r>
          </w:p>
          <w:p w14:paraId="3890E332" w14:textId="77777777" w:rsidR="00DA0C42" w:rsidRDefault="00DA0C42" w:rsidP="0090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968C3FE" w14:textId="77777777" w:rsidR="00DA0C42" w:rsidRPr="0092732F" w:rsidRDefault="00DA0C42" w:rsidP="00AC739A">
            <w:pPr>
              <w:jc w:val="both"/>
            </w:pPr>
          </w:p>
        </w:tc>
      </w:tr>
      <w:tr w:rsidR="00DA0C42" w14:paraId="2AA87401" w14:textId="77777777" w:rsidTr="00E66E98"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5B65B7" w14:textId="129FF378" w:rsidR="00DA0C42" w:rsidRDefault="00193E51" w:rsidP="0090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</w:rPr>
              <w:t>1.14</w:t>
            </w:r>
            <w:r w:rsidRPr="006525AE">
              <w:rPr>
                <w:rFonts w:cs="Times New Roman"/>
              </w:rPr>
              <w:t>Súčasťou balenia: návod na obsluhu v slovenskom alebo českom jazyku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459F8BF" w14:textId="77777777" w:rsidR="00DA0C42" w:rsidRPr="0092732F" w:rsidRDefault="00DA0C42" w:rsidP="00AC739A">
            <w:pPr>
              <w:jc w:val="both"/>
            </w:pPr>
          </w:p>
        </w:tc>
      </w:tr>
    </w:tbl>
    <w:p w14:paraId="3CBEFADA" w14:textId="77777777" w:rsidR="000E7130" w:rsidRDefault="000E7130" w:rsidP="000E7130">
      <w:pPr>
        <w:tabs>
          <w:tab w:val="left" w:pos="742"/>
          <w:tab w:val="left" w:pos="2880"/>
          <w:tab w:val="left" w:pos="4500"/>
        </w:tabs>
        <w:spacing w:after="0" w:line="276" w:lineRule="auto"/>
        <w:jc w:val="both"/>
        <w:rPr>
          <w:rFonts w:cstheme="majorHAnsi"/>
        </w:rPr>
      </w:pPr>
    </w:p>
    <w:tbl>
      <w:tblPr>
        <w:tblStyle w:val="Mriekatabuky"/>
        <w:tblW w:w="9781" w:type="dxa"/>
        <w:tblInd w:w="137" w:type="dxa"/>
        <w:tblLook w:val="04A0" w:firstRow="1" w:lastRow="0" w:firstColumn="1" w:lastColumn="0" w:noHBand="0" w:noVBand="1"/>
      </w:tblPr>
      <w:tblGrid>
        <w:gridCol w:w="9781"/>
      </w:tblGrid>
      <w:tr w:rsidR="000E7130" w14:paraId="74B6F078" w14:textId="77777777" w:rsidTr="000E713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A637A" w14:textId="77777777" w:rsidR="000E7130" w:rsidRDefault="000E7130">
            <w:pPr>
              <w:tabs>
                <w:tab w:val="left" w:pos="742"/>
                <w:tab w:val="left" w:pos="2880"/>
                <w:tab w:val="left" w:pos="4500"/>
              </w:tabs>
              <w:spacing w:line="276" w:lineRule="auto"/>
              <w:jc w:val="both"/>
              <w:rPr>
                <w:rFonts w:cstheme="majorHAnsi"/>
                <w:b/>
              </w:rPr>
            </w:pPr>
            <w:r>
              <w:rPr>
                <w:rFonts w:cstheme="majorHAnsi"/>
                <w:b/>
              </w:rPr>
              <w:t>Osobitné požiadavky:</w:t>
            </w:r>
          </w:p>
        </w:tc>
      </w:tr>
      <w:tr w:rsidR="000E7130" w14:paraId="5266F882" w14:textId="77777777" w:rsidTr="000E713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431CB" w14:textId="5BF14DC9" w:rsidR="000E7130" w:rsidRDefault="000E7130">
            <w:pPr>
              <w:tabs>
                <w:tab w:val="left" w:pos="742"/>
                <w:tab w:val="left" w:pos="2880"/>
                <w:tab w:val="left" w:pos="4500"/>
              </w:tabs>
              <w:spacing w:line="276" w:lineRule="auto"/>
              <w:jc w:val="both"/>
              <w:rPr>
                <w:rFonts w:cstheme="majorHAnsi"/>
              </w:rPr>
            </w:pPr>
            <w:r>
              <w:rPr>
                <w:rFonts w:cstheme="majorHAnsi"/>
                <w:color w:val="000000"/>
              </w:rPr>
              <w:t>Objednávateľ požaduje predloženie vš</w:t>
            </w:r>
            <w:r>
              <w:rPr>
                <w:rFonts w:cstheme="majorHAnsi"/>
              </w:rPr>
              <w:t xml:space="preserve">etkých dokumentov a technickej dokumentácie jednotlivých položiek (informácie </w:t>
            </w:r>
            <w:r>
              <w:rPr>
                <w:rFonts w:cstheme="majorHAnsi"/>
              </w:rPr>
              <w:br/>
              <w:t xml:space="preserve">o preprave, manipulovaní, skladovaní, o uvedení do prevádzky, o údržbe a informácie </w:t>
            </w:r>
            <w:r>
              <w:rPr>
                <w:rFonts w:cstheme="majorHAnsi"/>
                <w:color w:val="000000"/>
              </w:rPr>
              <w:t>o lehotách a obsahom pravidelných revízií, kontrol a skúšok jednotlivých položiek nákupu</w:t>
            </w:r>
            <w:r>
              <w:rPr>
                <w:rFonts w:cstheme="majorHAnsi"/>
              </w:rPr>
              <w:t>)</w:t>
            </w:r>
            <w:r>
              <w:rPr>
                <w:rFonts w:cstheme="majorHAnsi"/>
                <w:color w:val="000000"/>
              </w:rPr>
              <w:t xml:space="preserve"> </w:t>
            </w:r>
            <w:r>
              <w:rPr>
                <w:rFonts w:cstheme="majorHAnsi"/>
              </w:rPr>
              <w:t xml:space="preserve">najneskôr do uzavretia </w:t>
            </w:r>
            <w:r w:rsidR="008C2D57" w:rsidRPr="005B374F">
              <w:rPr>
                <w:rFonts w:cstheme="majorHAnsi"/>
              </w:rPr>
              <w:t>nákupnej zmluvy</w:t>
            </w:r>
            <w:r w:rsidRPr="005B374F">
              <w:rPr>
                <w:rFonts w:cstheme="majorHAnsi"/>
              </w:rPr>
              <w:t>.</w:t>
            </w:r>
          </w:p>
        </w:tc>
      </w:tr>
      <w:tr w:rsidR="000E7130" w14:paraId="05ACF0B3" w14:textId="77777777" w:rsidTr="000E713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8832B" w14:textId="3519C5EA" w:rsidR="000E7130" w:rsidRDefault="000E7130" w:rsidP="00193E51">
            <w:pPr>
              <w:tabs>
                <w:tab w:val="left" w:pos="742"/>
                <w:tab w:val="left" w:pos="2880"/>
                <w:tab w:val="left" w:pos="4500"/>
              </w:tabs>
              <w:spacing w:line="276" w:lineRule="auto"/>
              <w:jc w:val="both"/>
              <w:rPr>
                <w:rFonts w:cstheme="majorHAnsi"/>
              </w:rPr>
            </w:pPr>
            <w:r>
              <w:rPr>
                <w:rFonts w:cstheme="majorHAnsi"/>
              </w:rPr>
              <w:t xml:space="preserve">Objednávateľ požaduje predloženie návodu na obsluhu len od </w:t>
            </w:r>
            <w:r w:rsidR="008C2D57">
              <w:rPr>
                <w:rFonts w:cstheme="majorHAnsi"/>
              </w:rPr>
              <w:t xml:space="preserve">úspešného uchádzača po uzavretí </w:t>
            </w:r>
            <w:r w:rsidR="00193E51">
              <w:rPr>
                <w:rFonts w:cstheme="majorHAnsi"/>
              </w:rPr>
              <w:t>verejného obstarávania</w:t>
            </w:r>
            <w:r>
              <w:rPr>
                <w:rFonts w:cstheme="majorHAnsi"/>
              </w:rPr>
              <w:t>.</w:t>
            </w:r>
          </w:p>
        </w:tc>
      </w:tr>
      <w:tr w:rsidR="000E7130" w14:paraId="0A1010C0" w14:textId="77777777" w:rsidTr="000E713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AC1F7" w14:textId="77777777" w:rsidR="000E7130" w:rsidRDefault="000E7130">
            <w:pPr>
              <w:tabs>
                <w:tab w:val="left" w:pos="742"/>
                <w:tab w:val="left" w:pos="2880"/>
                <w:tab w:val="left" w:pos="4500"/>
              </w:tabs>
              <w:spacing w:line="276" w:lineRule="auto"/>
              <w:jc w:val="both"/>
              <w:rPr>
                <w:rFonts w:cstheme="majorHAnsi"/>
              </w:rPr>
            </w:pPr>
            <w:r>
              <w:rPr>
                <w:rFonts w:cstheme="majorHAnsi"/>
              </w:rPr>
              <w:t>Doprava na miesto plnenia.</w:t>
            </w:r>
          </w:p>
        </w:tc>
      </w:tr>
      <w:tr w:rsidR="000E7130" w14:paraId="56B68324" w14:textId="77777777" w:rsidTr="000E713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F5E6F" w14:textId="77777777" w:rsidR="000E7130" w:rsidRDefault="000E7130">
            <w:pPr>
              <w:tabs>
                <w:tab w:val="left" w:pos="742"/>
                <w:tab w:val="left" w:pos="2880"/>
                <w:tab w:val="left" w:pos="4500"/>
              </w:tabs>
              <w:spacing w:line="276" w:lineRule="auto"/>
              <w:jc w:val="both"/>
              <w:rPr>
                <w:rFonts w:cstheme="majorHAnsi"/>
              </w:rPr>
            </w:pPr>
            <w:r>
              <w:rPr>
                <w:rFonts w:cstheme="majorHAnsi"/>
              </w:rPr>
              <w:t>Vyloženie tovaru na miesto plnenia: centrálny sklad Záchrannej brigády Hasičského a záchranného zboru v Žiline, Bánovská cesta 010 01 Žilina.</w:t>
            </w:r>
          </w:p>
        </w:tc>
      </w:tr>
      <w:tr w:rsidR="000E7130" w14:paraId="3A69A31E" w14:textId="77777777" w:rsidTr="000E713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1EC79" w14:textId="77777777" w:rsidR="000E7130" w:rsidRDefault="000E7130">
            <w:pPr>
              <w:tabs>
                <w:tab w:val="left" w:pos="742"/>
                <w:tab w:val="left" w:pos="2880"/>
                <w:tab w:val="left" w:pos="4500"/>
              </w:tabs>
              <w:spacing w:line="276" w:lineRule="auto"/>
              <w:jc w:val="both"/>
              <w:rPr>
                <w:rFonts w:cstheme="majorHAnsi"/>
              </w:rPr>
            </w:pPr>
            <w:r>
              <w:rPr>
                <w:rFonts w:cstheme="majorHAnsi"/>
              </w:rPr>
              <w:t>Pred dodaním tovaru kontaktovať určenú osobu objednávateľa 3 pracovné dni vopred.</w:t>
            </w:r>
          </w:p>
        </w:tc>
      </w:tr>
      <w:tr w:rsidR="000E7130" w14:paraId="78D14E38" w14:textId="77777777" w:rsidTr="000E713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3827B" w14:textId="77777777" w:rsidR="000E7130" w:rsidRDefault="000E7130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ajorHAnsi"/>
              </w:rPr>
            </w:pPr>
            <w:r>
              <w:rPr>
                <w:rFonts w:cstheme="majorHAnsi"/>
              </w:rPr>
              <w:t>Dodať nový, doteraz nepoužívaný tovar.</w:t>
            </w:r>
          </w:p>
        </w:tc>
      </w:tr>
      <w:tr w:rsidR="000E7130" w14:paraId="767443B2" w14:textId="77777777" w:rsidTr="000E713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776C5" w14:textId="4D39A752" w:rsidR="000E7130" w:rsidRDefault="000E7130" w:rsidP="00193E51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ajorHAnsi"/>
              </w:rPr>
            </w:pPr>
            <w:r>
              <w:rPr>
                <w:rFonts w:cstheme="majorHAnsi"/>
              </w:rPr>
              <w:t xml:space="preserve">Tovar bude dodávaný postupne, </w:t>
            </w:r>
            <w:r w:rsidR="00193E51">
              <w:rPr>
                <w:rFonts w:cstheme="majorHAnsi"/>
              </w:rPr>
              <w:t>na základe objednávok vystavených obstarávateľom</w:t>
            </w:r>
            <w:r w:rsidR="00847E64" w:rsidRPr="005B374F">
              <w:rPr>
                <w:rFonts w:cstheme="majorHAnsi"/>
              </w:rPr>
              <w:t>.</w:t>
            </w:r>
          </w:p>
        </w:tc>
      </w:tr>
      <w:tr w:rsidR="000E7130" w14:paraId="30214A7F" w14:textId="77777777" w:rsidTr="000E713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60596" w14:textId="77777777" w:rsidR="000E7130" w:rsidRDefault="000E7130">
            <w:pPr>
              <w:tabs>
                <w:tab w:val="left" w:pos="742"/>
                <w:tab w:val="left" w:pos="2880"/>
                <w:tab w:val="left" w:pos="4500"/>
              </w:tabs>
              <w:jc w:val="both"/>
              <w:rPr>
                <w:rFonts w:cstheme="majorHAnsi"/>
              </w:rPr>
            </w:pPr>
            <w:r>
              <w:rPr>
                <w:rFonts w:cstheme="majorHAnsi"/>
              </w:rPr>
              <w:t>Cena musí zahŕňať všetky náklady súvisiace s dodaním požadovaného predmetu zákazky.</w:t>
            </w:r>
          </w:p>
        </w:tc>
      </w:tr>
      <w:tr w:rsidR="000E7130" w14:paraId="4442C762" w14:textId="77777777" w:rsidTr="000E713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3BF69" w14:textId="77777777" w:rsidR="000E7130" w:rsidRDefault="000E7130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ajorHAnsi"/>
              </w:rPr>
            </w:pPr>
            <w:r>
              <w:rPr>
                <w:rFonts w:cstheme="majorHAnsi"/>
                <w:color w:val="000000"/>
              </w:rPr>
              <w:t>Začiatok plynutia záručnej doby odo dňa prevzatia predmetu zákazky, rozhodujúci je dátum uvedený na preberacom a odovzdávacom protokole.</w:t>
            </w:r>
          </w:p>
        </w:tc>
      </w:tr>
      <w:tr w:rsidR="000E7130" w14:paraId="66C20A28" w14:textId="77777777" w:rsidTr="000E713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D924A" w14:textId="66D18D74" w:rsidR="000E7130" w:rsidRDefault="000E7130" w:rsidP="00847E64">
            <w:pPr>
              <w:tabs>
                <w:tab w:val="left" w:pos="742"/>
                <w:tab w:val="left" w:pos="2880"/>
                <w:tab w:val="left" w:pos="4500"/>
              </w:tabs>
              <w:spacing w:line="276" w:lineRule="auto"/>
              <w:jc w:val="both"/>
              <w:rPr>
                <w:rFonts w:cstheme="majorHAnsi"/>
              </w:rPr>
            </w:pPr>
            <w:r>
              <w:rPr>
                <w:rFonts w:cstheme="majorHAnsi"/>
                <w:bCs/>
              </w:rPr>
              <w:t xml:space="preserve">Objednávateľ požaduje predloženie certifikátu výrobku, alebo náležitosti podľa zákona č. 56/2018 z. z. </w:t>
            </w:r>
            <w:r>
              <w:rPr>
                <w:rFonts w:cstheme="majorHAnsi"/>
                <w:bCs/>
              </w:rPr>
              <w:br/>
              <w:t xml:space="preserve">o posudzovaní zhody výrobku, sprístupňovaní určeného výrobku na trhu a o zmene a doplnení niektorých zákonov </w:t>
            </w:r>
            <w:r>
              <w:rPr>
                <w:rFonts w:cstheme="majorHAnsi"/>
              </w:rPr>
              <w:t xml:space="preserve">najneskôr do uzavretia </w:t>
            </w:r>
            <w:r w:rsidR="00847E64" w:rsidRPr="005B374F">
              <w:rPr>
                <w:rFonts w:cstheme="majorHAnsi"/>
              </w:rPr>
              <w:t>nákupnej zmluvy</w:t>
            </w:r>
            <w:r w:rsidRPr="005B374F">
              <w:rPr>
                <w:rFonts w:cstheme="majorHAnsi"/>
              </w:rPr>
              <w:t>.</w:t>
            </w:r>
          </w:p>
        </w:tc>
      </w:tr>
      <w:tr w:rsidR="000E7130" w14:paraId="23F0127A" w14:textId="77777777" w:rsidTr="000E713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C8250" w14:textId="77777777" w:rsidR="000E7130" w:rsidRDefault="000E7130">
            <w:pPr>
              <w:autoSpaceDE w:val="0"/>
              <w:autoSpaceDN w:val="0"/>
              <w:adjustRightInd w:val="0"/>
              <w:jc w:val="both"/>
              <w:rPr>
                <w:rFonts w:cstheme="majorHAnsi"/>
              </w:rPr>
            </w:pPr>
            <w:r>
              <w:rPr>
                <w:rFonts w:cstheme="majorHAnsi"/>
              </w:rPr>
              <w:t>V prípade použitia ekvivalentných materiálov, dodávateľ musí doložiť materiálové listy na použité materiály a deklarovať ekvivalent materiálov.</w:t>
            </w:r>
          </w:p>
        </w:tc>
      </w:tr>
      <w:tr w:rsidR="000E7130" w14:paraId="74EC0CF2" w14:textId="77777777" w:rsidTr="000E713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19CE0" w14:textId="77777777" w:rsidR="000E7130" w:rsidRDefault="000E7130">
            <w:pPr>
              <w:autoSpaceDE w:val="0"/>
              <w:autoSpaceDN w:val="0"/>
              <w:adjustRightInd w:val="0"/>
              <w:jc w:val="both"/>
              <w:rPr>
                <w:rFonts w:cstheme="majorHAnsi"/>
              </w:rPr>
            </w:pPr>
            <w:r>
              <w:rPr>
                <w:rFonts w:cstheme="majorHAnsi"/>
              </w:rPr>
              <w:t>V prípade použitia ekvivalentných noriem, dodávateľ musí predložiť úradne preloženú normu v slovenskom jazyku.</w:t>
            </w:r>
          </w:p>
        </w:tc>
      </w:tr>
      <w:tr w:rsidR="000E7130" w14:paraId="1EFD8BF1" w14:textId="77777777" w:rsidTr="000E713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D9BC5" w14:textId="77777777" w:rsidR="000E7130" w:rsidRDefault="000E7130">
            <w:pPr>
              <w:spacing w:before="120"/>
              <w:jc w:val="both"/>
              <w:rPr>
                <w:rFonts w:cstheme="majorHAnsi"/>
              </w:rPr>
            </w:pPr>
            <w:r>
              <w:rPr>
                <w:rFonts w:cstheme="majorHAnsi"/>
              </w:rPr>
              <w:t xml:space="preserve">Doba poskytovanej  záruky musí byť minimálne </w:t>
            </w:r>
            <w:r w:rsidRPr="005B374F">
              <w:rPr>
                <w:rFonts w:cstheme="majorHAnsi"/>
              </w:rPr>
              <w:t xml:space="preserve">2 roky. </w:t>
            </w:r>
            <w:r>
              <w:rPr>
                <w:rFonts w:cstheme="majorHAnsi"/>
              </w:rPr>
              <w:t>Záruka musí začať plynúť odo dňa prevzatia predmetu obstarávania kupujúcim pričom rozhodujúcim je dátum uvedený na preberacom a odovzdávacom protokole k jednotlivým dodávkam predmetu obstarávania konkrétnemu odberateľovi.</w:t>
            </w:r>
          </w:p>
        </w:tc>
      </w:tr>
      <w:tr w:rsidR="000E7130" w14:paraId="149F0373" w14:textId="77777777" w:rsidTr="000E713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E58F0" w14:textId="2D61CF82" w:rsidR="000E7130" w:rsidRDefault="00B76E77">
            <w:pPr>
              <w:spacing w:before="120"/>
              <w:jc w:val="both"/>
              <w:rPr>
                <w:rFonts w:cstheme="majorHAnsi"/>
              </w:rPr>
            </w:pPr>
            <w:r>
              <w:rPr>
                <w:rFonts w:cstheme="majorHAnsi"/>
              </w:rPr>
              <w:t>Objednávateľ požaduje</w:t>
            </w:r>
            <w:r w:rsidR="000E7130">
              <w:rPr>
                <w:rFonts w:cstheme="majorHAnsi"/>
              </w:rPr>
              <w:t xml:space="preserve"> predloženie určitých dokumentov:</w:t>
            </w:r>
          </w:p>
          <w:p w14:paraId="75D6FED2" w14:textId="6CA90626" w:rsidR="000E7130" w:rsidRDefault="000E7130" w:rsidP="00FE2FB3">
            <w:pPr>
              <w:pStyle w:val="Odsekzoznamu"/>
              <w:numPr>
                <w:ilvl w:val="0"/>
                <w:numId w:val="23"/>
              </w:numPr>
              <w:spacing w:before="120" w:line="276" w:lineRule="auto"/>
              <w:ind w:left="1276" w:hanging="283"/>
              <w:rPr>
                <w:rFonts w:cstheme="majorHAnsi"/>
              </w:rPr>
            </w:pPr>
            <w:r>
              <w:rPr>
                <w:rFonts w:cstheme="majorHAnsi"/>
              </w:rPr>
              <w:t xml:space="preserve">uchádzač môže na preukázanie technickej alebo odbornej spôsobilosti využiť technické </w:t>
            </w:r>
            <w:r>
              <w:rPr>
                <w:rFonts w:cstheme="majorHAnsi"/>
              </w:rPr>
              <w:br/>
              <w:t xml:space="preserve">alebo odborné kapacity inej osoby, bez ohľadu na ich právny vzťah v čase podania ponuky. </w:t>
            </w:r>
            <w:r>
              <w:rPr>
                <w:rFonts w:cstheme="majorHAnsi"/>
              </w:rPr>
              <w:br/>
              <w:t xml:space="preserve">V takom prípade musí uchádzač verejnému obstarávateľovi preukázať, že pri plnení </w:t>
            </w:r>
            <w:r w:rsidR="00193E51" w:rsidRPr="005B374F">
              <w:rPr>
                <w:rFonts w:cstheme="majorHAnsi"/>
              </w:rPr>
              <w:t>kúpnej</w:t>
            </w:r>
            <w:r w:rsidR="00847E64" w:rsidRPr="005B374F">
              <w:rPr>
                <w:rFonts w:cstheme="majorHAnsi"/>
              </w:rPr>
              <w:t xml:space="preserve"> zmluvy</w:t>
            </w:r>
            <w:r w:rsidR="00193E51">
              <w:rPr>
                <w:rFonts w:cstheme="majorHAnsi"/>
              </w:rPr>
              <w:t>/objednávky</w:t>
            </w:r>
            <w:r w:rsidRPr="005B374F">
              <w:rPr>
                <w:rFonts w:cstheme="majorHAnsi"/>
              </w:rPr>
              <w:t xml:space="preserve"> </w:t>
            </w:r>
            <w:r>
              <w:rPr>
                <w:rFonts w:cstheme="majorHAnsi"/>
                <w:color w:val="000000"/>
              </w:rPr>
              <w:t xml:space="preserve">bude skutočne používať kapacity osoby, ktorej spôsobilosť využíva na preukázanie technickej spôsobilosti alebo odbornej spôsobilosti. Túto skutočnosť preukáže uchádzač písomnou zmluvou uzavretou s osobou, ktorej technickými alebo odbornými kapacitami mieni preukázať svoju technickú spôsobilosť alebo odbornú spôsobilosť. Z písomnej zmluvy musí vyplývať záväzok osoby, že </w:t>
            </w:r>
            <w:r>
              <w:rPr>
                <w:rFonts w:cstheme="majorHAnsi"/>
                <w:color w:val="000000"/>
              </w:rPr>
              <w:lastRenderedPageBreak/>
              <w:t>poskytne svoje kapacity počas celého trvania zmluvného vzťahu. Osoba, ktorej kapacity majú byť použité na preukázanie technickej alebo odbornej spôsobilosti, musí preukázať splnenie podmienky účasti týkajúce sa osobného postavenia a nesmú u nej existovať dôvody na vylúčenie podľa § 40 ods. 6 písm. a) až h) a ods. 7 zákona</w:t>
            </w:r>
            <w:r w:rsidR="00FE2FB3">
              <w:rPr>
                <w:rFonts w:cstheme="majorHAnsi"/>
                <w:color w:val="000000"/>
              </w:rPr>
              <w:t xml:space="preserve"> o verejnom obstarávaní a o zmenene a doplnení niektorých zákonov (ďalej len zákona o verejnom obstarávaní)</w:t>
            </w:r>
            <w:r>
              <w:rPr>
                <w:rFonts w:cstheme="majorHAnsi"/>
                <w:color w:val="000000"/>
              </w:rPr>
              <w:t>; oprávnenie poskytovať službu preukazuje vo vzťahu k te</w:t>
            </w:r>
            <w:r w:rsidR="00FE2FB3">
              <w:rPr>
                <w:rFonts w:cstheme="majorHAnsi"/>
                <w:color w:val="000000"/>
              </w:rPr>
              <w:t xml:space="preserve">j časti predmetu zákazky, </w:t>
            </w:r>
            <w:r>
              <w:rPr>
                <w:rFonts w:cstheme="majorHAnsi"/>
                <w:color w:val="000000"/>
              </w:rPr>
              <w:t>na ktorú boli kapacity uchádzačovi poskytnuté,</w:t>
            </w:r>
          </w:p>
          <w:p w14:paraId="53FAC66F" w14:textId="77777777" w:rsidR="000E7130" w:rsidRDefault="000E7130" w:rsidP="000E7130">
            <w:pPr>
              <w:pStyle w:val="Odsekzoznamu"/>
              <w:numPr>
                <w:ilvl w:val="0"/>
                <w:numId w:val="23"/>
              </w:numPr>
              <w:spacing w:before="120" w:line="276" w:lineRule="auto"/>
              <w:ind w:left="1276" w:hanging="283"/>
              <w:jc w:val="both"/>
              <w:rPr>
                <w:rFonts w:cstheme="majorHAnsi"/>
              </w:rPr>
            </w:pPr>
            <w:r>
              <w:rPr>
                <w:rFonts w:cstheme="majorHAnsi"/>
                <w:color w:val="000000"/>
              </w:rPr>
              <w:t xml:space="preserve">v prípade uchádzača, ktorého tvorí skupina dodávateľov zúčastnená vo verejnom obstarávaní, </w:t>
            </w:r>
            <w:r>
              <w:rPr>
                <w:rFonts w:cstheme="majorHAnsi"/>
                <w:color w:val="000000"/>
              </w:rPr>
              <w:br/>
              <w:t>sa požaduje preukázanie splnenia podmienok účasti týkajúcich sa technickej alebo odbornej spôsobilosti za všetkých členov skupiny spoločne,</w:t>
            </w:r>
          </w:p>
          <w:p w14:paraId="569B6BD0" w14:textId="16EE1D57" w:rsidR="000E7130" w:rsidRDefault="000E7130" w:rsidP="000E7130">
            <w:pPr>
              <w:pStyle w:val="Odsekzoznamu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20" w:line="276" w:lineRule="auto"/>
              <w:ind w:left="1276" w:hanging="283"/>
              <w:jc w:val="both"/>
              <w:rPr>
                <w:rFonts w:cstheme="majorHAnsi"/>
                <w:iCs/>
              </w:rPr>
            </w:pPr>
            <w:r>
              <w:rPr>
                <w:rFonts w:cstheme="majorHAnsi"/>
              </w:rPr>
              <w:t xml:space="preserve">uchádzačom predkladané doklady musia byť v rovnakej, alebo ekvivalentnej forme podľa uvedenej požiadavky verejného obstarávateľa, pričom z týchto dokladov preukazujúcich spôsobilosť podľa </w:t>
            </w:r>
            <w:r>
              <w:rPr>
                <w:rFonts w:cstheme="majorHAnsi"/>
              </w:rPr>
              <w:br/>
              <w:t xml:space="preserve">§ 34 zákona </w:t>
            </w:r>
            <w:r w:rsidR="00FE2FB3">
              <w:rPr>
                <w:rFonts w:cstheme="majorHAnsi"/>
              </w:rPr>
              <w:t xml:space="preserve">o verejnom obstarávaní </w:t>
            </w:r>
            <w:r>
              <w:rPr>
                <w:rFonts w:cstheme="majorHAnsi"/>
              </w:rPr>
              <w:t>musí byť zrejmé splnenie minimálnych úrovní požadovaných verejným obstarávateľom a rovnako musí byť zrejmé, že preukazovanie sa týka osoby uchádzača,</w:t>
            </w:r>
          </w:p>
          <w:p w14:paraId="2383DC16" w14:textId="6E703DE4" w:rsidR="000E7130" w:rsidRPr="000E7130" w:rsidRDefault="000E7130" w:rsidP="000E7130">
            <w:pPr>
              <w:pStyle w:val="Odsekzoznamu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20" w:line="276" w:lineRule="auto"/>
              <w:ind w:left="1276" w:hanging="283"/>
              <w:jc w:val="both"/>
              <w:rPr>
                <w:rFonts w:cstheme="majorHAnsi"/>
                <w:bCs/>
                <w:iCs/>
              </w:rPr>
            </w:pPr>
            <w:r w:rsidRPr="000E7130">
              <w:rPr>
                <w:iCs/>
              </w:rPr>
              <w:t>uchádzač môže predbežne nahradiť doklady na preukázanie splnenia podmienok účasti jednotným európskym dokumentom podľa § 39 ods. 1 zákona</w:t>
            </w:r>
            <w:r w:rsidR="00FE2FB3">
              <w:rPr>
                <w:iCs/>
              </w:rPr>
              <w:t xml:space="preserve"> o verejnom obstarávaní</w:t>
            </w:r>
            <w:r w:rsidRPr="000E7130">
              <w:rPr>
                <w:iCs/>
              </w:rPr>
              <w:t>.</w:t>
            </w:r>
          </w:p>
        </w:tc>
      </w:tr>
      <w:tr w:rsidR="000E7130" w14:paraId="1ADD09BF" w14:textId="77777777" w:rsidTr="000E713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9D5D4" w14:textId="77777777" w:rsidR="000E7130" w:rsidRDefault="000E7130">
            <w:pPr>
              <w:tabs>
                <w:tab w:val="left" w:pos="742"/>
                <w:tab w:val="left" w:pos="2880"/>
                <w:tab w:val="left" w:pos="4500"/>
              </w:tabs>
              <w:spacing w:line="276" w:lineRule="auto"/>
              <w:jc w:val="both"/>
              <w:rPr>
                <w:rFonts w:cstheme="majorHAnsi"/>
              </w:rPr>
            </w:pPr>
            <w:r>
              <w:rPr>
                <w:rFonts w:cstheme="majorHAnsi"/>
              </w:rPr>
              <w:t xml:space="preserve">Ak je dodávateľ identifikovaný pre DPH v inom členskom štáte EÚ a tovar bude do SR prepravený z iného členského štátu EÚ, tento Dodávateľ nebude pri plnení Zmluvy fakturovať DPH. Vo svojej kontraktačnej ponuke však musí uviesť príslušnú sadzbu a výšku DPH podľa zákona č. 222/2004 </w:t>
            </w:r>
            <w:proofErr w:type="spellStart"/>
            <w:r>
              <w:rPr>
                <w:rFonts w:cstheme="majorHAnsi"/>
              </w:rPr>
              <w:t>Z.z</w:t>
            </w:r>
            <w:proofErr w:type="spellEnd"/>
            <w:r>
              <w:rPr>
                <w:rFonts w:cstheme="majorHAnsi"/>
              </w:rPr>
              <w:t xml:space="preserve">. a cenu vrátane DPH. Objednávateľ nie je zdaniteľnou osobou a v tomto prípade je/bude registrovaný pre DPH podľa §7 zákona 222/2004 </w:t>
            </w:r>
            <w:proofErr w:type="spellStart"/>
            <w:r>
              <w:rPr>
                <w:rFonts w:cstheme="majorHAnsi"/>
              </w:rPr>
              <w:t>Z.z</w:t>
            </w:r>
            <w:proofErr w:type="spellEnd"/>
            <w:r>
              <w:rPr>
                <w:rFonts w:cstheme="majorHAnsi"/>
              </w:rPr>
              <w:t xml:space="preserve">. a bude povinný odviesť DPH v SR podľa zákona č. 222/2004 </w:t>
            </w:r>
            <w:proofErr w:type="spellStart"/>
            <w:r>
              <w:rPr>
                <w:rFonts w:cstheme="majorHAnsi"/>
              </w:rPr>
              <w:t>Z.z</w:t>
            </w:r>
            <w:proofErr w:type="spellEnd"/>
            <w:r>
              <w:rPr>
                <w:rFonts w:cstheme="majorHAnsi"/>
              </w:rPr>
              <w:t>..</w:t>
            </w:r>
          </w:p>
        </w:tc>
      </w:tr>
      <w:tr w:rsidR="000E7130" w14:paraId="55815A32" w14:textId="77777777" w:rsidTr="000E713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BADA4" w14:textId="77777777" w:rsidR="000E7130" w:rsidRDefault="000E7130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ajorHAnsi"/>
              </w:rPr>
            </w:pPr>
            <w:r>
              <w:rPr>
                <w:rFonts w:cstheme="majorHAnsi"/>
              </w:rPr>
              <w:t>Nesplnenie akejkoľvek podmienky alebo požiadavky objednávateľa sa bude považovať za podstatné porušenie zmluvných podmienok.</w:t>
            </w:r>
          </w:p>
        </w:tc>
      </w:tr>
    </w:tbl>
    <w:p w14:paraId="5E6E2666" w14:textId="77777777" w:rsidR="000E7130" w:rsidRDefault="000E7130" w:rsidP="000E7130">
      <w:pPr>
        <w:tabs>
          <w:tab w:val="left" w:pos="742"/>
          <w:tab w:val="left" w:pos="2880"/>
          <w:tab w:val="left" w:pos="4500"/>
        </w:tabs>
        <w:spacing w:after="0" w:line="276" w:lineRule="auto"/>
        <w:jc w:val="both"/>
        <w:rPr>
          <w:rFonts w:eastAsia="Calibri" w:cstheme="majorHAnsi"/>
        </w:rPr>
      </w:pPr>
    </w:p>
    <w:p w14:paraId="42C40905" w14:textId="77777777" w:rsidR="0092732F" w:rsidRDefault="0092732F"/>
    <w:sectPr w:rsidR="0092732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B24085" w14:textId="77777777" w:rsidR="008C0A66" w:rsidRDefault="008C0A66" w:rsidP="00A471D4">
      <w:pPr>
        <w:spacing w:after="0" w:line="240" w:lineRule="auto"/>
      </w:pPr>
      <w:r>
        <w:separator/>
      </w:r>
    </w:p>
  </w:endnote>
  <w:endnote w:type="continuationSeparator" w:id="0">
    <w:p w14:paraId="32E54C70" w14:textId="77777777" w:rsidR="008C0A66" w:rsidRDefault="008C0A66" w:rsidP="00A47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0229578"/>
      <w:docPartObj>
        <w:docPartGallery w:val="Page Numbers (Bottom of Page)"/>
        <w:docPartUnique/>
      </w:docPartObj>
    </w:sdtPr>
    <w:sdtEndPr/>
    <w:sdtContent>
      <w:p w14:paraId="114818AB" w14:textId="549BE8AE" w:rsidR="00A471D4" w:rsidRDefault="00A471D4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2FB3">
          <w:rPr>
            <w:noProof/>
          </w:rPr>
          <w:t>3</w:t>
        </w:r>
        <w:r>
          <w:fldChar w:fldCharType="end"/>
        </w:r>
      </w:p>
    </w:sdtContent>
  </w:sdt>
  <w:p w14:paraId="15E70169" w14:textId="77777777" w:rsidR="00A471D4" w:rsidRDefault="00A471D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8084F7" w14:textId="77777777" w:rsidR="008C0A66" w:rsidRDefault="008C0A66" w:rsidP="00A471D4">
      <w:pPr>
        <w:spacing w:after="0" w:line="240" w:lineRule="auto"/>
      </w:pPr>
      <w:r>
        <w:separator/>
      </w:r>
    </w:p>
  </w:footnote>
  <w:footnote w:type="continuationSeparator" w:id="0">
    <w:p w14:paraId="3ED1F49B" w14:textId="77777777" w:rsidR="008C0A66" w:rsidRDefault="008C0A66" w:rsidP="00A471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C39995" w14:textId="20B62DF9" w:rsidR="00B62113" w:rsidRPr="00B62113" w:rsidRDefault="00FE2FB3" w:rsidP="00FE2FB3">
    <w:pPr>
      <w:pStyle w:val="Hlavika"/>
      <w:jc w:val="right"/>
    </w:pPr>
    <w:r>
      <w:t xml:space="preserve">Príloha č.: 1 k č. p.: PHZ-OPK2-2026/001119-003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541DE"/>
    <w:multiLevelType w:val="multilevel"/>
    <w:tmpl w:val="431270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8F67D18"/>
    <w:multiLevelType w:val="multilevel"/>
    <w:tmpl w:val="8BD4A8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B090C59"/>
    <w:multiLevelType w:val="hybridMultilevel"/>
    <w:tmpl w:val="D7BCC3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87D07"/>
    <w:multiLevelType w:val="hybridMultilevel"/>
    <w:tmpl w:val="82F8F8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156C4"/>
    <w:multiLevelType w:val="hybridMultilevel"/>
    <w:tmpl w:val="5FAE029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101CB"/>
    <w:multiLevelType w:val="hybridMultilevel"/>
    <w:tmpl w:val="CC6494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E27E7"/>
    <w:multiLevelType w:val="hybridMultilevel"/>
    <w:tmpl w:val="E436B2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921993"/>
    <w:multiLevelType w:val="hybridMultilevel"/>
    <w:tmpl w:val="B5E467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6A3D4E"/>
    <w:multiLevelType w:val="hybridMultilevel"/>
    <w:tmpl w:val="5A1679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5E4AFD"/>
    <w:multiLevelType w:val="hybridMultilevel"/>
    <w:tmpl w:val="201C1F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1647B1"/>
    <w:multiLevelType w:val="hybridMultilevel"/>
    <w:tmpl w:val="11B0E4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B62CC"/>
    <w:multiLevelType w:val="multilevel"/>
    <w:tmpl w:val="E18EBB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9646AE6"/>
    <w:multiLevelType w:val="hybridMultilevel"/>
    <w:tmpl w:val="809682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E13D59"/>
    <w:multiLevelType w:val="hybridMultilevel"/>
    <w:tmpl w:val="7A7EA0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8008F0"/>
    <w:multiLevelType w:val="hybridMultilevel"/>
    <w:tmpl w:val="37D8C2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B9053D"/>
    <w:multiLevelType w:val="hybridMultilevel"/>
    <w:tmpl w:val="CD80646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1932D7"/>
    <w:multiLevelType w:val="hybridMultilevel"/>
    <w:tmpl w:val="43266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516D77"/>
    <w:multiLevelType w:val="hybridMultilevel"/>
    <w:tmpl w:val="A02076A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B64130"/>
    <w:multiLevelType w:val="hybridMultilevel"/>
    <w:tmpl w:val="20D2589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7C27687"/>
    <w:multiLevelType w:val="hybridMultilevel"/>
    <w:tmpl w:val="4F665D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152695"/>
    <w:multiLevelType w:val="hybridMultilevel"/>
    <w:tmpl w:val="96A47B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0558E5"/>
    <w:multiLevelType w:val="hybridMultilevel"/>
    <w:tmpl w:val="1A464C98"/>
    <w:lvl w:ilvl="0" w:tplc="041B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2" w15:restartNumberingAfterBreak="0">
    <w:nsid w:val="617765BC"/>
    <w:multiLevelType w:val="hybridMultilevel"/>
    <w:tmpl w:val="60C275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B47C0F"/>
    <w:multiLevelType w:val="hybridMultilevel"/>
    <w:tmpl w:val="341C76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591B82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98B4E4E"/>
    <w:multiLevelType w:val="hybridMultilevel"/>
    <w:tmpl w:val="8542C54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BD63724"/>
    <w:multiLevelType w:val="hybridMultilevel"/>
    <w:tmpl w:val="44D876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E55656"/>
    <w:multiLevelType w:val="hybridMultilevel"/>
    <w:tmpl w:val="01BCD2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544EDB"/>
    <w:multiLevelType w:val="hybridMultilevel"/>
    <w:tmpl w:val="F0DA84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EA7E92"/>
    <w:multiLevelType w:val="hybridMultilevel"/>
    <w:tmpl w:val="0994ED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DD17C6"/>
    <w:multiLevelType w:val="hybridMultilevel"/>
    <w:tmpl w:val="733677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7026F5"/>
    <w:multiLevelType w:val="hybridMultilevel"/>
    <w:tmpl w:val="852685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1"/>
  </w:num>
  <w:num w:numId="3">
    <w:abstractNumId w:val="27"/>
  </w:num>
  <w:num w:numId="4">
    <w:abstractNumId w:val="30"/>
  </w:num>
  <w:num w:numId="5">
    <w:abstractNumId w:val="3"/>
  </w:num>
  <w:num w:numId="6">
    <w:abstractNumId w:val="12"/>
  </w:num>
  <w:num w:numId="7">
    <w:abstractNumId w:val="21"/>
  </w:num>
  <w:num w:numId="8">
    <w:abstractNumId w:val="19"/>
  </w:num>
  <w:num w:numId="9">
    <w:abstractNumId w:val="23"/>
  </w:num>
  <w:num w:numId="10">
    <w:abstractNumId w:val="20"/>
  </w:num>
  <w:num w:numId="11">
    <w:abstractNumId w:val="17"/>
  </w:num>
  <w:num w:numId="12">
    <w:abstractNumId w:val="4"/>
  </w:num>
  <w:num w:numId="13">
    <w:abstractNumId w:val="5"/>
  </w:num>
  <w:num w:numId="14">
    <w:abstractNumId w:val="29"/>
  </w:num>
  <w:num w:numId="15">
    <w:abstractNumId w:val="14"/>
  </w:num>
  <w:num w:numId="16">
    <w:abstractNumId w:val="2"/>
  </w:num>
  <w:num w:numId="17">
    <w:abstractNumId w:val="28"/>
  </w:num>
  <w:num w:numId="18">
    <w:abstractNumId w:val="26"/>
  </w:num>
  <w:num w:numId="19">
    <w:abstractNumId w:val="22"/>
  </w:num>
  <w:num w:numId="20">
    <w:abstractNumId w:val="16"/>
  </w:num>
  <w:num w:numId="21">
    <w:abstractNumId w:val="7"/>
  </w:num>
  <w:num w:numId="22">
    <w:abstractNumId w:val="25"/>
  </w:num>
  <w:num w:numId="23">
    <w:abstractNumId w:val="18"/>
  </w:num>
  <w:num w:numId="24">
    <w:abstractNumId w:val="13"/>
  </w:num>
  <w:num w:numId="25">
    <w:abstractNumId w:val="6"/>
  </w:num>
  <w:num w:numId="26">
    <w:abstractNumId w:val="9"/>
  </w:num>
  <w:num w:numId="27">
    <w:abstractNumId w:val="10"/>
  </w:num>
  <w:num w:numId="28">
    <w:abstractNumId w:val="24"/>
  </w:num>
  <w:num w:numId="29">
    <w:abstractNumId w:val="15"/>
  </w:num>
  <w:num w:numId="30">
    <w:abstractNumId w:val="0"/>
  </w:num>
  <w:num w:numId="31">
    <w:abstractNumId w:val="1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0A5"/>
    <w:rsid w:val="00011077"/>
    <w:rsid w:val="0002652A"/>
    <w:rsid w:val="000324F5"/>
    <w:rsid w:val="00046A30"/>
    <w:rsid w:val="000500D2"/>
    <w:rsid w:val="00051B2A"/>
    <w:rsid w:val="000732DC"/>
    <w:rsid w:val="000750A5"/>
    <w:rsid w:val="00081C8F"/>
    <w:rsid w:val="00087F16"/>
    <w:rsid w:val="000B2A7B"/>
    <w:rsid w:val="000E1EDD"/>
    <w:rsid w:val="000E7130"/>
    <w:rsid w:val="00104409"/>
    <w:rsid w:val="00193E51"/>
    <w:rsid w:val="002176C5"/>
    <w:rsid w:val="0022488C"/>
    <w:rsid w:val="00231A3F"/>
    <w:rsid w:val="002E75E7"/>
    <w:rsid w:val="003C4050"/>
    <w:rsid w:val="004279D2"/>
    <w:rsid w:val="00452F32"/>
    <w:rsid w:val="004D0F49"/>
    <w:rsid w:val="004E2FBC"/>
    <w:rsid w:val="00506F7E"/>
    <w:rsid w:val="005B374F"/>
    <w:rsid w:val="005D1F72"/>
    <w:rsid w:val="005D2324"/>
    <w:rsid w:val="005F4504"/>
    <w:rsid w:val="006333DD"/>
    <w:rsid w:val="006525AE"/>
    <w:rsid w:val="006865D9"/>
    <w:rsid w:val="006915F8"/>
    <w:rsid w:val="0069475B"/>
    <w:rsid w:val="006B4A78"/>
    <w:rsid w:val="006D1672"/>
    <w:rsid w:val="006F2E26"/>
    <w:rsid w:val="006F6B23"/>
    <w:rsid w:val="00723952"/>
    <w:rsid w:val="00753094"/>
    <w:rsid w:val="00756E72"/>
    <w:rsid w:val="00765F63"/>
    <w:rsid w:val="007F5A7B"/>
    <w:rsid w:val="00817DB9"/>
    <w:rsid w:val="00847E64"/>
    <w:rsid w:val="00860DA2"/>
    <w:rsid w:val="008635E3"/>
    <w:rsid w:val="00890289"/>
    <w:rsid w:val="008C0A66"/>
    <w:rsid w:val="008C2D57"/>
    <w:rsid w:val="008C7553"/>
    <w:rsid w:val="008F0718"/>
    <w:rsid w:val="0090062E"/>
    <w:rsid w:val="0092732F"/>
    <w:rsid w:val="00977901"/>
    <w:rsid w:val="009B71AF"/>
    <w:rsid w:val="00A32C2C"/>
    <w:rsid w:val="00A471D4"/>
    <w:rsid w:val="00A92571"/>
    <w:rsid w:val="00AC739A"/>
    <w:rsid w:val="00AD4309"/>
    <w:rsid w:val="00B36B87"/>
    <w:rsid w:val="00B62113"/>
    <w:rsid w:val="00B76995"/>
    <w:rsid w:val="00B76E77"/>
    <w:rsid w:val="00BB1069"/>
    <w:rsid w:val="00BB763D"/>
    <w:rsid w:val="00BC2750"/>
    <w:rsid w:val="00BD199B"/>
    <w:rsid w:val="00BD6A0D"/>
    <w:rsid w:val="00C034D7"/>
    <w:rsid w:val="00C51006"/>
    <w:rsid w:val="00CC4879"/>
    <w:rsid w:val="00CE4124"/>
    <w:rsid w:val="00D02F46"/>
    <w:rsid w:val="00D22602"/>
    <w:rsid w:val="00D41FE3"/>
    <w:rsid w:val="00DA0C42"/>
    <w:rsid w:val="00E054F8"/>
    <w:rsid w:val="00E733CF"/>
    <w:rsid w:val="00EA3DE2"/>
    <w:rsid w:val="00EE15C6"/>
    <w:rsid w:val="00EF3C9D"/>
    <w:rsid w:val="00F8782D"/>
    <w:rsid w:val="00F91CAB"/>
    <w:rsid w:val="00FA036A"/>
    <w:rsid w:val="00FB56B0"/>
    <w:rsid w:val="00FC3542"/>
    <w:rsid w:val="00FD0063"/>
    <w:rsid w:val="00FE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CCEB6E"/>
  <w15:chartTrackingRefBased/>
  <w15:docId w15:val="{E2275FC8-5518-4902-A3B4-7C0EAB8C2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2732F"/>
    <w:rPr>
      <w:rFonts w:ascii="Arial Narrow" w:hAnsi="Arial Narrow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92732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C73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C739A"/>
    <w:rPr>
      <w:rFonts w:ascii="Segoe UI" w:hAnsi="Segoe UI" w:cs="Segoe UI"/>
      <w:sz w:val="18"/>
      <w:szCs w:val="18"/>
    </w:rPr>
  </w:style>
  <w:style w:type="character" w:customStyle="1" w:styleId="OdsekzoznamuChar">
    <w:name w:val="Odsek zoznamu Char"/>
    <w:link w:val="Odsekzoznamu"/>
    <w:uiPriority w:val="34"/>
    <w:locked/>
    <w:rsid w:val="000E7130"/>
    <w:rPr>
      <w:rFonts w:ascii="Arial Narrow" w:hAnsi="Arial Narrow"/>
    </w:rPr>
  </w:style>
  <w:style w:type="character" w:customStyle="1" w:styleId="Obyajntabuka31">
    <w:name w:val="Obyčajná tabuľka 31"/>
    <w:aliases w:val="klasika"/>
    <w:uiPriority w:val="19"/>
    <w:qFormat/>
    <w:rsid w:val="000E7130"/>
    <w:rPr>
      <w:rFonts w:ascii="Times New Roman" w:hAnsi="Times New Roman" w:cs="Times New Roman" w:hint="default"/>
      <w:b/>
      <w:bCs w:val="0"/>
      <w:iCs/>
      <w:color w:val="auto"/>
      <w:sz w:val="30"/>
    </w:rPr>
  </w:style>
  <w:style w:type="table" w:styleId="Mriekatabuky">
    <w:name w:val="Table Grid"/>
    <w:basedOn w:val="Normlnatabuka"/>
    <w:uiPriority w:val="39"/>
    <w:rsid w:val="000E7130"/>
    <w:pPr>
      <w:spacing w:after="0" w:line="240" w:lineRule="auto"/>
    </w:pPr>
    <w:rPr>
      <w:rFonts w:ascii="Calibri" w:eastAsia="Calibri" w:hAnsi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A471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471D4"/>
    <w:rPr>
      <w:rFonts w:ascii="Arial Narrow" w:hAnsi="Arial Narrow"/>
    </w:rPr>
  </w:style>
  <w:style w:type="paragraph" w:styleId="Pta">
    <w:name w:val="footer"/>
    <w:basedOn w:val="Normlny"/>
    <w:link w:val="PtaChar"/>
    <w:uiPriority w:val="99"/>
    <w:unhideWhenUsed/>
    <w:rsid w:val="00A471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471D4"/>
    <w:rPr>
      <w:rFonts w:ascii="Arial Narrow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66945-1937-41C3-8351-3881046E5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3</Pages>
  <Words>1017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 SR</Company>
  <LinksUpToDate>false</LinksUpToDate>
  <CharactersWithSpaces>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Gergely Révész</dc:creator>
  <cp:keywords/>
  <dc:description/>
  <cp:lastModifiedBy>Daniela Tomíková</cp:lastModifiedBy>
  <cp:revision>26</cp:revision>
  <cp:lastPrinted>2026-05-20T12:44:00Z</cp:lastPrinted>
  <dcterms:created xsi:type="dcterms:W3CDTF">2024-02-17T12:57:00Z</dcterms:created>
  <dcterms:modified xsi:type="dcterms:W3CDTF">2026-05-20T12:45:00Z</dcterms:modified>
</cp:coreProperties>
</file>