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6FEE" w14:textId="1371FD2B" w:rsidR="00063354" w:rsidRPr="004F79EA" w:rsidRDefault="00063354" w:rsidP="00FB1AD1">
      <w:pPr>
        <w:spacing w:after="0" w:line="240" w:lineRule="auto"/>
        <w:jc w:val="right"/>
        <w:rPr>
          <w:rFonts w:ascii="Garamond" w:eastAsia="Times New Roman" w:hAnsi="Garamond" w:cstheme="minorHAnsi"/>
          <w:kern w:val="0"/>
          <w:sz w:val="20"/>
          <w:szCs w:val="20"/>
          <w14:ligatures w14:val="none"/>
        </w:rPr>
      </w:pPr>
      <w:r w:rsidRPr="004F79EA">
        <w:rPr>
          <w:rFonts w:ascii="Garamond" w:eastAsia="Times New Roman" w:hAnsi="Garamond" w:cstheme="minorHAnsi"/>
          <w:b/>
          <w:kern w:val="0"/>
          <w:sz w:val="20"/>
          <w:szCs w:val="20"/>
          <w14:ligatures w14:val="none"/>
        </w:rPr>
        <w:t xml:space="preserve">Príloha č. </w:t>
      </w:r>
      <w:r w:rsidR="00FB1AD1" w:rsidRPr="004F79EA">
        <w:rPr>
          <w:rFonts w:ascii="Garamond" w:eastAsia="Times New Roman" w:hAnsi="Garamond" w:cstheme="minorHAnsi"/>
          <w:b/>
          <w:kern w:val="0"/>
          <w:sz w:val="20"/>
          <w:szCs w:val="20"/>
          <w14:ligatures w14:val="none"/>
        </w:rPr>
        <w:t>2</w:t>
      </w:r>
      <w:r w:rsidRPr="004F79EA">
        <w:rPr>
          <w:rFonts w:ascii="Garamond" w:eastAsia="Times New Roman" w:hAnsi="Garamond" w:cstheme="minorHAnsi"/>
          <w:b/>
          <w:kern w:val="0"/>
          <w:sz w:val="20"/>
          <w:szCs w:val="20"/>
          <w14:ligatures w14:val="none"/>
        </w:rPr>
        <w:t xml:space="preserve"> – </w:t>
      </w:r>
      <w:r w:rsidR="00FC3824" w:rsidRPr="004F79EA">
        <w:rPr>
          <w:rFonts w:ascii="Garamond" w:eastAsia="Times New Roman" w:hAnsi="Garamond" w:cstheme="minorHAnsi"/>
          <w:kern w:val="0"/>
          <w:sz w:val="20"/>
          <w:szCs w:val="20"/>
          <w14:ligatures w14:val="none"/>
        </w:rPr>
        <w:t>Špecifikácia</w:t>
      </w:r>
      <w:r w:rsidRPr="004F79EA">
        <w:rPr>
          <w:rFonts w:ascii="Garamond" w:eastAsia="Times New Roman" w:hAnsi="Garamond" w:cstheme="minorHAnsi"/>
          <w:kern w:val="0"/>
          <w:sz w:val="20"/>
          <w:szCs w:val="20"/>
          <w14:ligatures w14:val="none"/>
        </w:rPr>
        <w:t xml:space="preserve"> predmetu zákazky, tejto Výzvy</w:t>
      </w:r>
      <w:r w:rsidRPr="004F79EA">
        <w:rPr>
          <w:rFonts w:ascii="Garamond" w:eastAsia="Times New Roman" w:hAnsi="Garamond" w:cstheme="minorHAnsi"/>
          <w:b/>
          <w:kern w:val="0"/>
          <w:sz w:val="20"/>
          <w:szCs w:val="20"/>
          <w14:ligatures w14:val="none"/>
        </w:rPr>
        <w:tab/>
      </w:r>
    </w:p>
    <w:p w14:paraId="51D4B26F" w14:textId="77777777" w:rsidR="00063354" w:rsidRPr="004F79EA" w:rsidRDefault="00063354" w:rsidP="00063354">
      <w:pPr>
        <w:spacing w:after="0" w:line="240" w:lineRule="auto"/>
        <w:jc w:val="both"/>
        <w:rPr>
          <w:rFonts w:ascii="Garamond" w:hAnsi="Garamond" w:cstheme="minorHAnsi"/>
          <w:b/>
          <w:bCs/>
        </w:rPr>
      </w:pPr>
    </w:p>
    <w:p w14:paraId="71567457" w14:textId="77777777" w:rsidR="00063354" w:rsidRPr="004F79EA" w:rsidRDefault="00063354" w:rsidP="00063354">
      <w:pPr>
        <w:spacing w:after="0" w:line="240" w:lineRule="auto"/>
        <w:ind w:left="2124" w:firstLine="708"/>
        <w:jc w:val="both"/>
        <w:rPr>
          <w:rFonts w:ascii="Garamond" w:eastAsia="Times New Roman" w:hAnsi="Garamond" w:cstheme="minorHAnsi"/>
          <w:b/>
          <w:kern w:val="0"/>
          <w14:ligatures w14:val="none"/>
        </w:rPr>
      </w:pPr>
    </w:p>
    <w:p w14:paraId="1CBA2605" w14:textId="12749CF0" w:rsidR="00063354" w:rsidRPr="004F79EA" w:rsidRDefault="00063354" w:rsidP="00063354">
      <w:pPr>
        <w:spacing w:after="0" w:line="240" w:lineRule="auto"/>
        <w:ind w:left="2124" w:firstLine="708"/>
        <w:jc w:val="both"/>
        <w:rPr>
          <w:rFonts w:ascii="Garamond" w:eastAsia="Times New Roman" w:hAnsi="Garamond" w:cstheme="minorHAnsi"/>
          <w:b/>
          <w:kern w:val="0"/>
          <w:sz w:val="24"/>
          <w:szCs w:val="24"/>
          <w14:ligatures w14:val="none"/>
        </w:rPr>
      </w:pPr>
      <w:r w:rsidRPr="004F79EA">
        <w:rPr>
          <w:rFonts w:ascii="Garamond" w:eastAsia="Times New Roman" w:hAnsi="Garamond" w:cstheme="minorHAnsi"/>
          <w:b/>
          <w:kern w:val="0"/>
          <w:sz w:val="24"/>
          <w:szCs w:val="24"/>
          <w14:ligatures w14:val="none"/>
        </w:rPr>
        <w:t>Opis</w:t>
      </w:r>
      <w:r w:rsidR="00FC3824" w:rsidRPr="004F79EA">
        <w:rPr>
          <w:rFonts w:ascii="Garamond" w:eastAsia="Times New Roman" w:hAnsi="Garamond" w:cstheme="minorHAnsi"/>
          <w:b/>
          <w:kern w:val="0"/>
          <w:sz w:val="24"/>
          <w:szCs w:val="24"/>
          <w14:ligatures w14:val="none"/>
        </w:rPr>
        <w:t xml:space="preserve"> (špecifikácia)</w:t>
      </w:r>
      <w:r w:rsidRPr="004F79EA">
        <w:rPr>
          <w:rFonts w:ascii="Garamond" w:eastAsia="Times New Roman" w:hAnsi="Garamond" w:cstheme="minorHAnsi"/>
          <w:b/>
          <w:kern w:val="0"/>
          <w:sz w:val="24"/>
          <w:szCs w:val="24"/>
          <w14:ligatures w14:val="none"/>
        </w:rPr>
        <w:t xml:space="preserve"> predmetu zákazky  </w:t>
      </w:r>
    </w:p>
    <w:p w14:paraId="5BA3437F" w14:textId="77777777" w:rsidR="004F79EA" w:rsidRPr="004F79EA" w:rsidRDefault="004F79EA" w:rsidP="00063354">
      <w:pPr>
        <w:spacing w:after="0" w:line="240" w:lineRule="auto"/>
        <w:ind w:left="2124" w:firstLine="708"/>
        <w:jc w:val="both"/>
        <w:rPr>
          <w:rFonts w:ascii="Garamond" w:eastAsia="Times New Roman" w:hAnsi="Garamond" w:cstheme="minorHAnsi"/>
          <w:b/>
          <w:kern w:val="0"/>
          <w14:ligatures w14:val="none"/>
        </w:rPr>
      </w:pPr>
    </w:p>
    <w:p w14:paraId="5AA3D642"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07D415CA"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6E54AACA" w14:textId="219C86E0" w:rsidR="004F79EA" w:rsidRPr="004F79EA" w:rsidRDefault="00472F11" w:rsidP="004F79EA">
      <w:pPr>
        <w:spacing w:after="0" w:line="240" w:lineRule="auto"/>
        <w:jc w:val="both"/>
        <w:rPr>
          <w:rFonts w:ascii="Garamond" w:eastAsia="Calibri" w:hAnsi="Garamond" w:cs="Times New Roman"/>
          <w:bCs/>
          <w:kern w:val="0"/>
          <w14:ligatures w14:val="none"/>
        </w:rPr>
      </w:pPr>
      <w:r>
        <w:rPr>
          <w:rFonts w:ascii="Garamond" w:eastAsia="Calibri" w:hAnsi="Garamond" w:cs="Times New Roman"/>
          <w:bCs/>
          <w:kern w:val="0"/>
          <w14:ligatures w14:val="none"/>
        </w:rPr>
        <w:t xml:space="preserve">Predmetom zákazky bude </w:t>
      </w:r>
      <w:r w:rsidRPr="004F79EA">
        <w:rPr>
          <w:rFonts w:ascii="Garamond" w:eastAsia="Calibri" w:hAnsi="Garamond" w:cs="Times New Roman"/>
          <w:bCs/>
          <w:kern w:val="0"/>
          <w14:ligatures w14:val="none"/>
        </w:rPr>
        <w:t>uskutoč</w:t>
      </w:r>
      <w:r>
        <w:rPr>
          <w:rFonts w:ascii="Garamond" w:eastAsia="Calibri" w:hAnsi="Garamond" w:cs="Times New Roman"/>
          <w:bCs/>
          <w:kern w:val="0"/>
          <w14:ligatures w14:val="none"/>
        </w:rPr>
        <w:t>ňovanie</w:t>
      </w:r>
      <w:r w:rsidR="004F79EA" w:rsidRPr="004F79EA">
        <w:rPr>
          <w:rFonts w:ascii="Garamond" w:eastAsia="Calibri" w:hAnsi="Garamond" w:cs="Times New Roman"/>
          <w:bCs/>
          <w:kern w:val="0"/>
          <w14:ligatures w14:val="none"/>
        </w:rPr>
        <w:t xml:space="preserve"> </w:t>
      </w:r>
      <w:r>
        <w:rPr>
          <w:rFonts w:ascii="Garamond" w:eastAsia="Calibri" w:hAnsi="Garamond" w:cs="Times New Roman"/>
          <w:bCs/>
          <w:kern w:val="0"/>
          <w14:ligatures w14:val="none"/>
        </w:rPr>
        <w:t xml:space="preserve">stavebných </w:t>
      </w:r>
      <w:r w:rsidR="004F79EA" w:rsidRPr="004F79EA">
        <w:rPr>
          <w:rFonts w:ascii="Garamond" w:eastAsia="Calibri" w:hAnsi="Garamond" w:cs="Times New Roman"/>
          <w:bCs/>
          <w:kern w:val="0"/>
          <w14:ligatures w14:val="none"/>
        </w:rPr>
        <w:t>prác v podmienkach obstarávateľa bežne a všeobecne dostupných na trhu – náterov stožiarov na uskutočnenie plánovaných opráv zariadení PTZ na mestských dráhach a obnovu ochranného náteru trakčných stožiarov ako nosného systému trakčného vedenia trolejbusov a električiek v prenájme  DPB, a. s.</w:t>
      </w:r>
      <w:r w:rsidR="00E73F0F">
        <w:rPr>
          <w:rFonts w:ascii="Garamond" w:eastAsia="Calibri" w:hAnsi="Garamond" w:cs="Times New Roman"/>
          <w:bCs/>
          <w:kern w:val="0"/>
          <w14:ligatures w14:val="none"/>
        </w:rPr>
        <w:t xml:space="preserve"> v predpokladanom množstve 5 000 m2.</w:t>
      </w:r>
    </w:p>
    <w:p w14:paraId="4129015E" w14:textId="77777777" w:rsidR="004F79EA" w:rsidRPr="004F79EA" w:rsidRDefault="004F79EA" w:rsidP="004F79EA">
      <w:p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Uchádzač berie na vedomie, že práce bude vykonávať za plnej dopravnej prevádzky. Cena uvedená  je nemenná smerom nahor a zahŕňa všetky náklady spojené s vykonaním práce, vrátane likvidácie odpadov, použitia plošín či akýchkoľvek zariadení vrátane energie na ich chod, vrátane materiálu – farieb, riedidla, skrutiek, nerezových pásikov, zámkov a pod.. Cenu požadujeme určiť ako náklady na 1m</w:t>
      </w:r>
      <w:r w:rsidRPr="004F79EA">
        <w:rPr>
          <w:rFonts w:ascii="Garamond" w:eastAsia="Calibri" w:hAnsi="Garamond" w:cs="Times New Roman"/>
          <w:bCs/>
          <w:kern w:val="0"/>
          <w:vertAlign w:val="superscript"/>
          <w14:ligatures w14:val="none"/>
        </w:rPr>
        <w:t>2</w:t>
      </w:r>
      <w:r w:rsidRPr="004F79EA">
        <w:rPr>
          <w:rFonts w:ascii="Garamond" w:eastAsia="Calibri" w:hAnsi="Garamond" w:cs="Times New Roman"/>
          <w:bCs/>
          <w:kern w:val="0"/>
          <w14:ligatures w14:val="none"/>
        </w:rPr>
        <w:t xml:space="preserve"> plochy ošetrenej a natrenej podľa požadovaného technologického postupu.</w:t>
      </w:r>
    </w:p>
    <w:p w14:paraId="16B671A4"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70325925" w14:textId="77777777" w:rsidR="004F79EA" w:rsidRPr="004F79EA" w:rsidRDefault="004F79EA" w:rsidP="004F79EA">
      <w:p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 xml:space="preserve">Požadovaný technologický postup čistenia a náteru trakčných </w:t>
      </w:r>
      <w:r w:rsidRPr="004F79EA">
        <w:rPr>
          <w:rFonts w:ascii="Garamond" w:eastAsia="Calibri" w:hAnsi="Garamond" w:cs="Times New Roman"/>
          <w:bCs/>
          <w:kern w:val="0"/>
          <w14:ligatures w14:val="none"/>
        </w:rPr>
        <w:tab/>
        <w:t>stožiarov v prenájme DPB, a. s. je nasledovný:</w:t>
      </w:r>
    </w:p>
    <w:p w14:paraId="5692E5F6"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 xml:space="preserve">osadenie dopravného značenia 2 – 3 metre pred stožiar, ktorý je určený na náter </w:t>
      </w:r>
    </w:p>
    <w:p w14:paraId="5C8D0294"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 xml:space="preserve">ak sú na ňom umiestnené dopravné značky, ich fotodokumentácia a následná demontáž (fotodokumentáciu je povinný vykonať realizátor, pred demontážou i po ukončení náteru, čím dokumentuje zachovanie umiestnenia dopravného značenia) </w:t>
      </w:r>
    </w:p>
    <w:p w14:paraId="28A8DD68" w14:textId="27996FBB"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sú na stožiari osadené reklamné tabule, smetné koše či iné zariadenia a tieto neboli zdemontované ich prevádzkovateľom, tak ich do</w:t>
      </w:r>
      <w:r w:rsidR="00472F11">
        <w:rPr>
          <w:rFonts w:ascii="Garamond" w:eastAsia="Calibri" w:hAnsi="Garamond" w:cs="Times New Roman"/>
          <w:bCs/>
          <w:kern w:val="0"/>
          <w14:ligatures w14:val="none"/>
        </w:rPr>
        <w:t>d</w:t>
      </w:r>
      <w:r w:rsidRPr="004F79EA">
        <w:rPr>
          <w:rFonts w:ascii="Garamond" w:eastAsia="Calibri" w:hAnsi="Garamond" w:cs="Times New Roman"/>
          <w:bCs/>
          <w:kern w:val="0"/>
          <w14:ligatures w14:val="none"/>
        </w:rPr>
        <w:t>áv</w:t>
      </w:r>
      <w:r w:rsidR="00472F11">
        <w:rPr>
          <w:rFonts w:ascii="Garamond" w:eastAsia="Calibri" w:hAnsi="Garamond" w:cs="Times New Roman"/>
          <w:bCs/>
          <w:kern w:val="0"/>
          <w14:ligatures w14:val="none"/>
        </w:rPr>
        <w:t>ateľ</w:t>
      </w:r>
      <w:r w:rsidRPr="004F79EA">
        <w:rPr>
          <w:rFonts w:ascii="Garamond" w:eastAsia="Calibri" w:hAnsi="Garamond" w:cs="Times New Roman"/>
          <w:bCs/>
          <w:kern w:val="0"/>
          <w14:ligatures w14:val="none"/>
        </w:rPr>
        <w:t xml:space="preserve"> demontuje a odovzdá DPB na uskladnenie. </w:t>
      </w:r>
    </w:p>
    <w:p w14:paraId="714298FF"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sa jedná o kombinovaný trakčný stožiar, ktorý má v spodnej časti osadený liatinový kryt drieku stožiara, je nutné v rámci prípravy stožiaru demontovať aj tieto kryty.</w:t>
      </w:r>
    </w:p>
    <w:p w14:paraId="22F47403"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Zo stožiara následne odstrániť všetky nálepky, plagáty a taktiež všetky zvyšky</w:t>
      </w:r>
    </w:p>
    <w:p w14:paraId="171356DB" w14:textId="77777777" w:rsidR="004F79EA" w:rsidRPr="004F79EA" w:rsidRDefault="004F79EA" w:rsidP="004F79EA">
      <w:p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 xml:space="preserve">                        zariadení, ktoré už evidentne neslúžia svojmu pôvodnému účelu.</w:t>
      </w:r>
    </w:p>
    <w:p w14:paraId="5BF7D923" w14:textId="77777777" w:rsidR="004F79EA" w:rsidRPr="004F79EA" w:rsidRDefault="004F79EA" w:rsidP="004F79EA">
      <w:p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sú tieto nefunkčné časti ku stožiaru privarené, tak ich požadujeme odrezať a miesto zvaru zabrúsiť.</w:t>
      </w:r>
    </w:p>
    <w:p w14:paraId="4E51FBCA"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a.s..</w:t>
      </w:r>
    </w:p>
    <w:p w14:paraId="3A3559B0"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t.j. nad prvou redukciou vydá pokyn na očistenie (opieskovanie či obrúsenie) celého stožiaru. Stupeň očistenia: Sa 2½ / Be sweeping</w:t>
      </w:r>
    </w:p>
    <w:p w14:paraId="2BBE7E98"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ide o kombinovaný trakčný stožiar s liatinovým krytom, tak predmetom očistenia je aj tento kryt a to z oboch strán. Taktiež je predmetom očistenia aj výložník verejného osvetlenia.</w:t>
      </w:r>
    </w:p>
    <w:p w14:paraId="460B55E6"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 pokiaľ správca neurčí iné riešenie.</w:t>
      </w:r>
    </w:p>
    <w:p w14:paraId="3BEB39BD"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 očistení je možné pristúpiť ku realizácii jednotlivých vrstiev náteru nasledovne:</w:t>
      </w:r>
    </w:p>
    <w:p w14:paraId="4A12D1B0"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1. vrstva (základný náter) musí byť vyhotovená generickým typom náterovej látky - epoxidová - mastik vysokosušinový (EPm(HS)) (minimálne 80% objemových) tak, aby po vysušení bola hrúbka vrstvy minimálne 100 mikro - metrov. Požadovaný odtieň farby napr. – biela (RAL 100)</w:t>
      </w:r>
    </w:p>
    <w:p w14:paraId="4F033876"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lastRenderedPageBreak/>
        <w:t>2. vrstva (medzivrstvový náter) musí byť vyhotovená tak isto ako 1. vrstva (min. 100 mikro – metrov). Požadovaný odtieň je nutné prispôsobiť požadovanému odtieňu vrchného náteru.</w:t>
      </w:r>
    </w:p>
    <w:p w14:paraId="4999D372"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3. vrstva (vrchný náter) musí byť vyhotovená taktiež generickým typom náterovej látky – polyuretánová farba (PUR) tak, aby po vysušení bola hrúbka vrstvy minimálne 80 mikro – metrov. Požadovaný odtieň RAL 7016 – antracitovo šedá.</w:t>
      </w:r>
    </w:p>
    <w:p w14:paraId="2D518851"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Realizácia náterového systému musí byť zhotoviteľom priebežne kontrolovaná odborným personálom. Personál, ktorý vykonáva kontrolu, musí byť k tomu oprávnený a odborne kvalifikovaný, napr. korózny  inžinier,  náterový  technik, inšpektor  FROSIO  v súlade  s NS  476  alebo  ekvivalent.</w:t>
      </w:r>
    </w:p>
    <w:p w14:paraId="2BE76557"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Ku každému natretému stožiaru vyhotoví zhotoviteľ certifikát v ktorom deklaruje dodržanie požadovaného technologického postupu a namerané skutočné hodnoty hrúbky jednotlivých vrstiev.</w:t>
      </w:r>
    </w:p>
    <w:p w14:paraId="6727933E"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Náterový systém musí vyhovovať pre životnosť „vysokú“  t. j. viac ako 15 rokov.</w:t>
      </w:r>
    </w:p>
    <w:p w14:paraId="7448AD27"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je predmetným stožiarom kombinovaný trakčný stožiar s liatinovým krytom , tak je predmetom náterov aj tento kryt a to z oboch strán a samozrejme aj výložník verejného osvetlenia (VO) a to podľa postupu popísaného vyššie.</w:t>
      </w:r>
    </w:p>
    <w:p w14:paraId="2327A622" w14:textId="77777777" w:rsidR="004F79EA" w:rsidRPr="004F79EA" w:rsidRDefault="004F79EA" w:rsidP="004F79EA">
      <w:pPr>
        <w:numPr>
          <w:ilvl w:val="2"/>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Pokiaľ sa na stožiari nachádzajú oceľové konštrukcie, prípadne je na ňom osadený oceľový výložník, tak sú taktiež predmetom náterov podľa vyššie popísaného postupu, pokiaľ správca neurčí iné riešenie.</w:t>
      </w:r>
    </w:p>
    <w:p w14:paraId="431D2EA8"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Bandimex, alebo ekvivalent.</w:t>
      </w:r>
    </w:p>
    <w:p w14:paraId="5193C7BC"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V prípade kombinovaných trakčných stožiarov s liatinovým krytom drieku požadujeme spätnú montáž vykonať s novými skrutkami a matkami s antikoróznou povrchovou úpravou (napr. pozinkovanie, poniklovanie a pod.)</w:t>
      </w:r>
    </w:p>
    <w:p w14:paraId="2D6255EF" w14:textId="77777777" w:rsidR="004F79EA" w:rsidRPr="004F79EA" w:rsidRDefault="004F79EA" w:rsidP="004F79EA">
      <w:pPr>
        <w:numPr>
          <w:ilvl w:val="1"/>
          <w:numId w:val="33"/>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Všetky činnosti koordinovať so správcom PTZ DPB, a.s..</w:t>
      </w:r>
    </w:p>
    <w:p w14:paraId="3087751C"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57A4915B" w14:textId="77777777" w:rsidR="004F79EA" w:rsidRPr="004F79EA" w:rsidRDefault="004F79EA" w:rsidP="004F79EA">
      <w:p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Ďalšie osobitné požiadavky:</w:t>
      </w:r>
    </w:p>
    <w:p w14:paraId="5F693642"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625378E3" w14:textId="77777777" w:rsidR="004F79EA" w:rsidRPr="004F79EA" w:rsidRDefault="004F79EA" w:rsidP="004F79EA">
      <w:pPr>
        <w:numPr>
          <w:ilvl w:val="0"/>
          <w:numId w:val="34"/>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uchádzač predloží opis spôsobu očistenia, ktorý mieni použiť, ak nebude postupovať podľa opisu spôsobu čistenia, ktorý je uvedený v opise predmetu zákazky (viď vyššie)</w:t>
      </w:r>
    </w:p>
    <w:p w14:paraId="3751806C"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4CB86E8C" w14:textId="51943E71" w:rsidR="004F79EA" w:rsidRPr="004F79EA" w:rsidRDefault="004F79EA" w:rsidP="004F79EA">
      <w:pPr>
        <w:numPr>
          <w:ilvl w:val="0"/>
          <w:numId w:val="34"/>
        </w:numPr>
        <w:spacing w:after="0" w:line="240" w:lineRule="auto"/>
        <w:jc w:val="both"/>
        <w:rPr>
          <w:rFonts w:ascii="Garamond" w:eastAsia="Calibri" w:hAnsi="Garamond" w:cs="Times New Roman"/>
          <w:bCs/>
          <w:kern w:val="0"/>
          <w14:ligatures w14:val="none"/>
        </w:rPr>
      </w:pPr>
      <w:r w:rsidRPr="004F79EA">
        <w:rPr>
          <w:rFonts w:ascii="Garamond" w:eastAsia="Calibri" w:hAnsi="Garamond" w:cs="Times New Roman"/>
          <w:bCs/>
          <w:kern w:val="0"/>
          <w14:ligatures w14:val="none"/>
        </w:rPr>
        <w:t xml:space="preserve">uchádzač musí garantovať záručnú dobu minimálne </w:t>
      </w:r>
      <w:r w:rsidR="00E73F0F">
        <w:rPr>
          <w:rFonts w:ascii="Garamond" w:eastAsia="Calibri" w:hAnsi="Garamond" w:cs="Times New Roman"/>
          <w:bCs/>
          <w:kern w:val="0"/>
          <w14:ligatures w14:val="none"/>
        </w:rPr>
        <w:t>36</w:t>
      </w:r>
      <w:r w:rsidRPr="004F79EA">
        <w:rPr>
          <w:rFonts w:ascii="Garamond" w:eastAsia="Calibri" w:hAnsi="Garamond" w:cs="Times New Roman"/>
          <w:bCs/>
          <w:kern w:val="0"/>
          <w14:ligatures w14:val="none"/>
        </w:rPr>
        <w:t xml:space="preserve"> mesiacov</w:t>
      </w:r>
    </w:p>
    <w:p w14:paraId="5A75DD5B" w14:textId="77777777" w:rsidR="004F79EA" w:rsidRPr="004F79EA" w:rsidRDefault="004F79EA" w:rsidP="004F79EA">
      <w:pPr>
        <w:spacing w:after="0" w:line="240" w:lineRule="auto"/>
        <w:jc w:val="both"/>
        <w:rPr>
          <w:rFonts w:ascii="Garamond" w:eastAsia="Calibri" w:hAnsi="Garamond" w:cs="Times New Roman"/>
          <w:bCs/>
          <w:kern w:val="0"/>
          <w14:ligatures w14:val="none"/>
        </w:rPr>
      </w:pPr>
    </w:p>
    <w:p w14:paraId="2C513D66" w14:textId="77777777" w:rsidR="00063354" w:rsidRPr="004F79EA" w:rsidRDefault="00063354" w:rsidP="00063354">
      <w:pPr>
        <w:spacing w:after="0" w:line="240" w:lineRule="auto"/>
        <w:rPr>
          <w:rFonts w:ascii="Garamond" w:hAnsi="Garamond" w:cstheme="minorHAnsi"/>
        </w:rPr>
      </w:pPr>
    </w:p>
    <w:p w14:paraId="43AD32A5" w14:textId="7CC71766" w:rsidR="00063354" w:rsidRPr="004F79EA" w:rsidRDefault="00063354" w:rsidP="00063354">
      <w:pPr>
        <w:spacing w:after="0" w:line="240" w:lineRule="auto"/>
        <w:jc w:val="both"/>
        <w:rPr>
          <w:rFonts w:ascii="Garamond" w:hAnsi="Garamond" w:cstheme="minorHAnsi"/>
          <w:lang w:eastAsia="ja-JP"/>
        </w:rPr>
      </w:pPr>
    </w:p>
    <w:sectPr w:rsidR="00063354" w:rsidRPr="004F7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142C200E"/>
    <w:lvl w:ilvl="0" w:tplc="F1E0DFFE">
      <w:start w:val="1"/>
      <w:numFmt w:val="bullet"/>
      <w:lvlText w:val="-"/>
      <w:lvlJc w:val="left"/>
      <w:pPr>
        <w:ind w:left="1170" w:hanging="360"/>
      </w:pPr>
      <w:rPr>
        <w:rFonts w:ascii="Calibri" w:eastAsiaTheme="minorHAnsi" w:hAnsi="Calibri" w:cs="Calibri"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E5D58"/>
    <w:multiLevelType w:val="hybridMultilevel"/>
    <w:tmpl w:val="B364ACC6"/>
    <w:lvl w:ilvl="0" w:tplc="1B0E54AC">
      <w:numFmt w:val="bullet"/>
      <w:lvlText w:val="-"/>
      <w:lvlJc w:val="left"/>
      <w:pPr>
        <w:ind w:left="720" w:hanging="360"/>
      </w:pPr>
      <w:rPr>
        <w:rFonts w:ascii="Calibri" w:eastAsia="TimesNewRomanPS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21227"/>
    <w:multiLevelType w:val="hybridMultilevel"/>
    <w:tmpl w:val="29B2081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51167"/>
    <w:multiLevelType w:val="hybridMultilevel"/>
    <w:tmpl w:val="92B0CD1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DD47818"/>
    <w:multiLevelType w:val="hybridMultilevel"/>
    <w:tmpl w:val="2B5E423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4"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B643F6"/>
    <w:multiLevelType w:val="hybridMultilevel"/>
    <w:tmpl w:val="AB9C2816"/>
    <w:lvl w:ilvl="0" w:tplc="238403E0">
      <w:start w:val="1"/>
      <w:numFmt w:val="upp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CBF459F"/>
    <w:multiLevelType w:val="hybridMultilevel"/>
    <w:tmpl w:val="3FC854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117CE7"/>
    <w:multiLevelType w:val="hybridMultilevel"/>
    <w:tmpl w:val="FFFFFFFF"/>
    <w:lvl w:ilvl="0" w:tplc="041B0001">
      <w:start w:val="1"/>
      <w:numFmt w:val="bullet"/>
      <w:lvlText w:val=""/>
      <w:lvlJc w:val="left"/>
      <w:pPr>
        <w:ind w:left="1430" w:hanging="71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6430A0"/>
    <w:multiLevelType w:val="hybridMultilevel"/>
    <w:tmpl w:val="4208B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ECC6A1E"/>
    <w:multiLevelType w:val="hybridMultilevel"/>
    <w:tmpl w:val="AC5CFA02"/>
    <w:lvl w:ilvl="0" w:tplc="041B0001">
      <w:start w:val="1"/>
      <w:numFmt w:val="bullet"/>
      <w:lvlText w:val=""/>
      <w:lvlJc w:val="left"/>
      <w:pPr>
        <w:ind w:left="117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AA5FAD"/>
    <w:multiLevelType w:val="multilevel"/>
    <w:tmpl w:val="65D2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04A89"/>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1CB18BE"/>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740681B"/>
    <w:multiLevelType w:val="multilevel"/>
    <w:tmpl w:val="64B4C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1D70D9"/>
    <w:multiLevelType w:val="hybridMultilevel"/>
    <w:tmpl w:val="B96844DE"/>
    <w:lvl w:ilvl="0" w:tplc="041B000F">
      <w:start w:val="1"/>
      <w:numFmt w:val="decimal"/>
      <w:lvlText w:val="%1."/>
      <w:lvlJc w:val="left"/>
      <w:pPr>
        <w:ind w:left="720" w:hanging="360"/>
      </w:pPr>
    </w:lvl>
    <w:lvl w:ilvl="1" w:tplc="041B0001">
      <w:numFmt w:val="decimal"/>
      <w:lvlText w:val=""/>
      <w:lvlJc w:val="left"/>
      <w:pPr>
        <w:ind w:left="1440" w:hanging="360"/>
      </w:pPr>
      <w:rPr>
        <w:rFonts w:ascii="Symbol" w:hAnsi="Symbol" w:hint="default"/>
      </w:rPr>
    </w:lvl>
    <w:lvl w:ilvl="2" w:tplc="041B0001">
      <w:numFmt w:val="decimal"/>
      <w:lvlText w:val=""/>
      <w:lvlJc w:val="left"/>
      <w:pPr>
        <w:ind w:left="2160" w:hanging="180"/>
      </w:pPr>
      <w:rPr>
        <w:rFonts w:ascii="Symbol" w:hAnsi="Symbol" w:hint="default"/>
      </w:rPr>
    </w:lvl>
    <w:lvl w:ilvl="3" w:tplc="041B0001">
      <w:numFmt w:val="decimal"/>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8E43AC7"/>
    <w:multiLevelType w:val="multilevel"/>
    <w:tmpl w:val="65D2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8575E9"/>
    <w:multiLevelType w:val="hybridMultilevel"/>
    <w:tmpl w:val="82881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702EAF"/>
    <w:multiLevelType w:val="hybridMultilevel"/>
    <w:tmpl w:val="CFCEC0DE"/>
    <w:lvl w:ilvl="0" w:tplc="46F4750C">
      <w:start w:val="1"/>
      <w:numFmt w:val="bullet"/>
      <w:lvlText w:val="-"/>
      <w:lvlJc w:val="left"/>
      <w:pPr>
        <w:ind w:left="118" w:firstLine="0"/>
      </w:pPr>
      <w:rPr>
        <w:rFonts w:ascii="Calibri" w:eastAsia="Times New Roman" w:hAnsi="Calibri"/>
        <w:b w:val="0"/>
        <w:i w:val="0"/>
        <w:strike w:val="0"/>
        <w:dstrike w:val="0"/>
        <w:color w:val="000000"/>
        <w:sz w:val="22"/>
        <w:u w:val="none" w:color="000000"/>
        <w:effect w:val="none"/>
        <w:vertAlign w:val="baseline"/>
      </w:rPr>
    </w:lvl>
    <w:lvl w:ilvl="1" w:tplc="BC62892A">
      <w:start w:val="1"/>
      <w:numFmt w:val="bullet"/>
      <w:lvlText w:val="•"/>
      <w:lvlJc w:val="left"/>
      <w:pPr>
        <w:ind w:left="705" w:firstLine="0"/>
      </w:pPr>
      <w:rPr>
        <w:rFonts w:ascii="Arial" w:eastAsia="Times New Roman" w:hAnsi="Arial"/>
        <w:b w:val="0"/>
        <w:i w:val="0"/>
        <w:strike w:val="0"/>
        <w:dstrike w:val="0"/>
        <w:color w:val="auto"/>
        <w:sz w:val="18"/>
        <w:u w:val="none" w:color="000000"/>
        <w:effect w:val="none"/>
        <w:vertAlign w:val="baseline"/>
      </w:rPr>
    </w:lvl>
    <w:lvl w:ilvl="2" w:tplc="00F04112">
      <w:start w:val="1"/>
      <w:numFmt w:val="bullet"/>
      <w:lvlText w:val="o"/>
      <w:lvlJc w:val="left"/>
      <w:pPr>
        <w:ind w:left="1440" w:firstLine="0"/>
      </w:pPr>
      <w:rPr>
        <w:rFonts w:ascii="Courier New" w:eastAsia="Times New Roman" w:hAnsi="Courier New"/>
        <w:b w:val="0"/>
        <w:i w:val="0"/>
        <w:strike w:val="0"/>
        <w:dstrike w:val="0"/>
        <w:color w:val="000000"/>
        <w:sz w:val="22"/>
        <w:u w:val="none" w:color="000000"/>
        <w:effect w:val="none"/>
        <w:vertAlign w:val="baseline"/>
      </w:rPr>
    </w:lvl>
    <w:lvl w:ilvl="3" w:tplc="CB0AB486">
      <w:start w:val="1"/>
      <w:numFmt w:val="bullet"/>
      <w:lvlText w:val=""/>
      <w:lvlJc w:val="left"/>
      <w:pPr>
        <w:ind w:left="1800" w:firstLine="0"/>
      </w:pPr>
      <w:rPr>
        <w:rFonts w:ascii="Wingdings" w:eastAsia="Times New Roman" w:hAnsi="Wingdings"/>
        <w:b w:val="0"/>
        <w:i w:val="0"/>
        <w:strike w:val="0"/>
        <w:dstrike w:val="0"/>
        <w:color w:val="000000"/>
        <w:sz w:val="22"/>
        <w:u w:val="none" w:color="000000"/>
        <w:effect w:val="none"/>
        <w:vertAlign w:val="baseline"/>
      </w:rPr>
    </w:lvl>
    <w:lvl w:ilvl="4" w:tplc="EE8E65EC">
      <w:start w:val="1"/>
      <w:numFmt w:val="bullet"/>
      <w:lvlText w:val="o"/>
      <w:lvlJc w:val="left"/>
      <w:pPr>
        <w:ind w:left="2880" w:firstLine="0"/>
      </w:pPr>
      <w:rPr>
        <w:rFonts w:ascii="Wingdings" w:eastAsia="Times New Roman" w:hAnsi="Wingdings"/>
        <w:b w:val="0"/>
        <w:i w:val="0"/>
        <w:strike w:val="0"/>
        <w:dstrike w:val="0"/>
        <w:color w:val="000000"/>
        <w:sz w:val="22"/>
        <w:u w:val="none" w:color="000000"/>
        <w:effect w:val="none"/>
        <w:vertAlign w:val="baseline"/>
      </w:rPr>
    </w:lvl>
    <w:lvl w:ilvl="5" w:tplc="7444DAC8">
      <w:start w:val="1"/>
      <w:numFmt w:val="bullet"/>
      <w:lvlText w:val="▪"/>
      <w:lvlJc w:val="left"/>
      <w:pPr>
        <w:ind w:left="3600" w:firstLine="0"/>
      </w:pPr>
      <w:rPr>
        <w:rFonts w:ascii="Wingdings" w:eastAsia="Times New Roman" w:hAnsi="Wingdings"/>
        <w:b w:val="0"/>
        <w:i w:val="0"/>
        <w:strike w:val="0"/>
        <w:dstrike w:val="0"/>
        <w:color w:val="000000"/>
        <w:sz w:val="22"/>
        <w:u w:val="none" w:color="000000"/>
        <w:effect w:val="none"/>
        <w:vertAlign w:val="baseline"/>
      </w:rPr>
    </w:lvl>
    <w:lvl w:ilvl="6" w:tplc="EA8A62D8">
      <w:start w:val="1"/>
      <w:numFmt w:val="bullet"/>
      <w:lvlText w:val="•"/>
      <w:lvlJc w:val="left"/>
      <w:pPr>
        <w:ind w:left="4320" w:firstLine="0"/>
      </w:pPr>
      <w:rPr>
        <w:rFonts w:ascii="Wingdings" w:eastAsia="Times New Roman" w:hAnsi="Wingdings"/>
        <w:b w:val="0"/>
        <w:i w:val="0"/>
        <w:strike w:val="0"/>
        <w:dstrike w:val="0"/>
        <w:color w:val="000000"/>
        <w:sz w:val="22"/>
        <w:u w:val="none" w:color="000000"/>
        <w:effect w:val="none"/>
        <w:vertAlign w:val="baseline"/>
      </w:rPr>
    </w:lvl>
    <w:lvl w:ilvl="7" w:tplc="4DC29112">
      <w:start w:val="1"/>
      <w:numFmt w:val="bullet"/>
      <w:lvlText w:val="o"/>
      <w:lvlJc w:val="left"/>
      <w:pPr>
        <w:ind w:left="5040" w:firstLine="0"/>
      </w:pPr>
      <w:rPr>
        <w:rFonts w:ascii="Wingdings" w:eastAsia="Times New Roman" w:hAnsi="Wingdings"/>
        <w:b w:val="0"/>
        <w:i w:val="0"/>
        <w:strike w:val="0"/>
        <w:dstrike w:val="0"/>
        <w:color w:val="000000"/>
        <w:sz w:val="22"/>
        <w:u w:val="none" w:color="000000"/>
        <w:effect w:val="none"/>
        <w:vertAlign w:val="baseline"/>
      </w:rPr>
    </w:lvl>
    <w:lvl w:ilvl="8" w:tplc="DAC8A81C">
      <w:start w:val="1"/>
      <w:numFmt w:val="bullet"/>
      <w:lvlText w:val="▪"/>
      <w:lvlJc w:val="left"/>
      <w:pPr>
        <w:ind w:left="5760" w:firstLine="0"/>
      </w:pPr>
      <w:rPr>
        <w:rFonts w:ascii="Wingdings" w:eastAsia="Times New Roman" w:hAnsi="Wingdings"/>
        <w:b w:val="0"/>
        <w:i w:val="0"/>
        <w:strike w:val="0"/>
        <w:dstrike w:val="0"/>
        <w:color w:val="000000"/>
        <w:sz w:val="22"/>
        <w:u w:val="none" w:color="000000"/>
        <w:effect w:val="none"/>
        <w:vertAlign w:val="baseline"/>
      </w:rPr>
    </w:lvl>
  </w:abstractNum>
  <w:num w:numId="1" w16cid:durableId="115954492">
    <w:abstractNumId w:val="4"/>
  </w:num>
  <w:num w:numId="2" w16cid:durableId="1829664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16374">
    <w:abstractNumId w:val="23"/>
  </w:num>
  <w:num w:numId="4" w16cid:durableId="1615163952">
    <w:abstractNumId w:val="24"/>
  </w:num>
  <w:num w:numId="5" w16cid:durableId="730275357">
    <w:abstractNumId w:val="17"/>
  </w:num>
  <w:num w:numId="6" w16cid:durableId="146098535">
    <w:abstractNumId w:val="32"/>
  </w:num>
  <w:num w:numId="7" w16cid:durableId="4904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29262">
    <w:abstractNumId w:val="31"/>
  </w:num>
  <w:num w:numId="9" w16cid:durableId="1952743229">
    <w:abstractNumId w:val="16"/>
  </w:num>
  <w:num w:numId="10" w16cid:durableId="992295542">
    <w:abstractNumId w:val="26"/>
  </w:num>
  <w:num w:numId="11" w16cid:durableId="1817525749">
    <w:abstractNumId w:val="30"/>
  </w:num>
  <w:num w:numId="12" w16cid:durableId="966857671">
    <w:abstractNumId w:val="27"/>
  </w:num>
  <w:num w:numId="13" w16cid:durableId="449865213">
    <w:abstractNumId w:val="21"/>
  </w:num>
  <w:num w:numId="14" w16cid:durableId="479157658">
    <w:abstractNumId w:val="5"/>
  </w:num>
  <w:num w:numId="15" w16cid:durableId="362706228">
    <w:abstractNumId w:val="18"/>
  </w:num>
  <w:num w:numId="16" w16cid:durableId="639654853">
    <w:abstractNumId w:val="1"/>
  </w:num>
  <w:num w:numId="17" w16cid:durableId="1207907854">
    <w:abstractNumId w:val="0"/>
  </w:num>
  <w:num w:numId="18" w16cid:durableId="745420442">
    <w:abstractNumId w:val="3"/>
  </w:num>
  <w:num w:numId="19" w16cid:durableId="1216116134">
    <w:abstractNumId w:val="2"/>
  </w:num>
  <w:num w:numId="20" w16cid:durableId="796027513">
    <w:abstractNumId w:val="9"/>
  </w:num>
  <w:num w:numId="21" w16cid:durableId="1047098416">
    <w:abstractNumId w:val="13"/>
  </w:num>
  <w:num w:numId="22" w16cid:durableId="322661064">
    <w:abstractNumId w:val="14"/>
  </w:num>
  <w:num w:numId="23" w16cid:durableId="1703237946">
    <w:abstractNumId w:val="6"/>
  </w:num>
  <w:num w:numId="24" w16cid:durableId="327487772">
    <w:abstractNumId w:val="8"/>
  </w:num>
  <w:num w:numId="25" w16cid:durableId="1708724341">
    <w:abstractNumId w:val="19"/>
  </w:num>
  <w:num w:numId="26" w16cid:durableId="80295860">
    <w:abstractNumId w:val="20"/>
  </w:num>
  <w:num w:numId="27" w16cid:durableId="716248137">
    <w:abstractNumId w:val="25"/>
  </w:num>
  <w:num w:numId="28" w16cid:durableId="707292062">
    <w:abstractNumId w:val="10"/>
  </w:num>
  <w:num w:numId="29" w16cid:durableId="755631002">
    <w:abstractNumId w:val="11"/>
  </w:num>
  <w:num w:numId="30" w16cid:durableId="1529104173">
    <w:abstractNumId w:val="22"/>
  </w:num>
  <w:num w:numId="31" w16cid:durableId="409665549">
    <w:abstractNumId w:val="29"/>
  </w:num>
  <w:num w:numId="32" w16cid:durableId="946084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3525097">
    <w:abstractNumId w:val="28"/>
  </w:num>
  <w:num w:numId="34" w16cid:durableId="1063328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54"/>
    <w:rsid w:val="0005151A"/>
    <w:rsid w:val="00063354"/>
    <w:rsid w:val="0008237D"/>
    <w:rsid w:val="0011405B"/>
    <w:rsid w:val="0015233A"/>
    <w:rsid w:val="0019323C"/>
    <w:rsid w:val="00241572"/>
    <w:rsid w:val="00353196"/>
    <w:rsid w:val="00472F11"/>
    <w:rsid w:val="00493729"/>
    <w:rsid w:val="004F79EA"/>
    <w:rsid w:val="006063E2"/>
    <w:rsid w:val="006A2E49"/>
    <w:rsid w:val="0077588B"/>
    <w:rsid w:val="007A6A56"/>
    <w:rsid w:val="00875246"/>
    <w:rsid w:val="008B2CF0"/>
    <w:rsid w:val="00903CC7"/>
    <w:rsid w:val="00952E7C"/>
    <w:rsid w:val="00A91935"/>
    <w:rsid w:val="00C43586"/>
    <w:rsid w:val="00CD5F52"/>
    <w:rsid w:val="00D71185"/>
    <w:rsid w:val="00DF43AB"/>
    <w:rsid w:val="00E73F0F"/>
    <w:rsid w:val="00F06448"/>
    <w:rsid w:val="00F252F3"/>
    <w:rsid w:val="00FB1AD1"/>
    <w:rsid w:val="00FC3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8888"/>
  <w15:chartTrackingRefBased/>
  <w15:docId w15:val="{3DC080DB-85CF-4336-B555-370AA2BC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3354"/>
    <w:pPr>
      <w:spacing w:line="256" w:lineRule="auto"/>
    </w:pPr>
    <w:rPr>
      <w:kern w:val="2"/>
      <w14:ligatures w14:val="standardContextual"/>
    </w:rPr>
  </w:style>
  <w:style w:type="paragraph" w:styleId="Nadpis3">
    <w:name w:val="heading 3"/>
    <w:basedOn w:val="Normlny"/>
    <w:next w:val="Normlny"/>
    <w:link w:val="Nadpis3Char"/>
    <w:uiPriority w:val="9"/>
    <w:semiHidden/>
    <w:unhideWhenUsed/>
    <w:qFormat/>
    <w:rsid w:val="00063354"/>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5">
    <w:name w:val="heading 5"/>
    <w:basedOn w:val="Normlny"/>
    <w:next w:val="Normlny"/>
    <w:link w:val="Nadpis5Char"/>
    <w:uiPriority w:val="9"/>
    <w:semiHidden/>
    <w:unhideWhenUsed/>
    <w:qFormat/>
    <w:rsid w:val="00063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63354"/>
    <w:rPr>
      <w:rFonts w:ascii="Arial" w:eastAsia="Times New Roman" w:hAnsi="Arial" w:cs="Times New Roman"/>
      <w:sz w:val="40"/>
      <w:szCs w:val="40"/>
      <w:lang w:eastAsia="sk-SK"/>
    </w:rPr>
  </w:style>
  <w:style w:type="paragraph" w:styleId="Zoznamsodrkami">
    <w:name w:val="List Bullet"/>
    <w:basedOn w:val="Normlny"/>
    <w:uiPriority w:val="99"/>
    <w:semiHidden/>
    <w:unhideWhenUsed/>
    <w:rsid w:val="00063354"/>
    <w:pPr>
      <w:numPr>
        <w:numId w:val="1"/>
      </w:numPr>
      <w:contextualSpacing/>
    </w:pPr>
  </w:style>
  <w:style w:type="character" w:customStyle="1" w:styleId="OdsekzoznamuChar">
    <w:name w:val="Odsek zoznamu Char"/>
    <w:aliases w:val="Bullet Number Char,lp1 Char,lp11 Char,List Paragraph11 Char,Bullet 1 Char,Use Case List Paragraph Char,body Char,Odsek zoznamu2 Char,Bullet List Char,FooterText Char,numbered Char,Paragraphe de liste1 Char,ODRAZKY PRVA UROVEN Char"/>
    <w:link w:val="Odsekzoznamu"/>
    <w:uiPriority w:val="34"/>
    <w:qFormat/>
    <w:locked/>
    <w:rsid w:val="00063354"/>
  </w:style>
  <w:style w:type="paragraph" w:styleId="Odsekzoznamu">
    <w:name w:val="List Paragraph"/>
    <w:aliases w:val="Bullet Number,lp1,lp11,List Paragraph11,Bullet 1,Use Case List Paragraph,body,Odsek zoznamu2,Bullet List,FooterText,numbered,Paragraphe de liste1,ODRAZKY PRVA UROVEN,List Paragraph,Nad,Odstavec cíl se seznamem,Odstavec_muj"/>
    <w:basedOn w:val="Normlny"/>
    <w:link w:val="OdsekzoznamuChar"/>
    <w:uiPriority w:val="34"/>
    <w:qFormat/>
    <w:rsid w:val="00063354"/>
    <w:pPr>
      <w:ind w:left="720"/>
      <w:contextualSpacing/>
    </w:pPr>
    <w:rPr>
      <w:kern w:val="0"/>
      <w14:ligatures w14:val="none"/>
    </w:rPr>
  </w:style>
  <w:style w:type="paragraph" w:customStyle="1" w:styleId="AppendixHeading5">
    <w:name w:val="Appendix Heading 5"/>
    <w:basedOn w:val="Nadpis5"/>
    <w:next w:val="Zkladntext"/>
    <w:qFormat/>
    <w:rsid w:val="00063354"/>
    <w:pPr>
      <w:keepLines w:val="0"/>
      <w:spacing w:before="240" w:line="260" w:lineRule="exact"/>
      <w:outlineLvl w:val="9"/>
    </w:pPr>
    <w:rPr>
      <w:rFonts w:ascii="Times New Roman" w:eastAsia="Times New Roman" w:hAnsi="Times New Roman" w:cs="Times New Roman"/>
      <w:i/>
      <w:color w:val="auto"/>
      <w:kern w:val="0"/>
      <w:szCs w:val="20"/>
      <w:lang w:val="en-US"/>
      <w14:ligatures w14:val="none"/>
    </w:rPr>
  </w:style>
  <w:style w:type="paragraph" w:customStyle="1" w:styleId="ClanokIntent2Bullet">
    <w:name w:val="Clanok Intent 2 Bullet"/>
    <w:basedOn w:val="Normlny"/>
    <w:rsid w:val="00063354"/>
    <w:pPr>
      <w:tabs>
        <w:tab w:val="num" w:pos="999"/>
      </w:tabs>
      <w:suppressAutoHyphens/>
      <w:spacing w:after="120" w:line="240" w:lineRule="auto"/>
      <w:jc w:val="both"/>
    </w:pPr>
    <w:rPr>
      <w:rFonts w:ascii="Times New Roman" w:eastAsia="Times New Roman" w:hAnsi="Times New Roman" w:cs="Times New Roman"/>
      <w:kern w:val="0"/>
      <w:szCs w:val="24"/>
      <w:lang w:eastAsia="ar-SA"/>
      <w14:ligatures w14:val="none"/>
    </w:rPr>
  </w:style>
  <w:style w:type="table" w:styleId="Mriekatabuky">
    <w:name w:val="Table Grid"/>
    <w:aliases w:val="Deloitte table 3"/>
    <w:basedOn w:val="Normlnatabuka"/>
    <w:uiPriority w:val="39"/>
    <w:rsid w:val="00063354"/>
    <w:pPr>
      <w:spacing w:after="0" w:line="240" w:lineRule="auto"/>
    </w:pPr>
    <w:rPr>
      <w:rFonts w:eastAsia="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063354"/>
    <w:rPr>
      <w:rFonts w:asciiTheme="majorHAnsi" w:eastAsiaTheme="majorEastAsia" w:hAnsiTheme="majorHAnsi" w:cstheme="majorBidi"/>
      <w:color w:val="2F5496" w:themeColor="accent1" w:themeShade="BF"/>
      <w:kern w:val="2"/>
      <w14:ligatures w14:val="standardContextual"/>
    </w:rPr>
  </w:style>
  <w:style w:type="paragraph" w:styleId="Zkladntext">
    <w:name w:val="Body Text"/>
    <w:basedOn w:val="Normlny"/>
    <w:link w:val="ZkladntextChar"/>
    <w:uiPriority w:val="99"/>
    <w:semiHidden/>
    <w:unhideWhenUsed/>
    <w:rsid w:val="00063354"/>
    <w:pPr>
      <w:spacing w:after="120"/>
    </w:pPr>
  </w:style>
  <w:style w:type="character" w:customStyle="1" w:styleId="ZkladntextChar">
    <w:name w:val="Základný text Char"/>
    <w:basedOn w:val="Predvolenpsmoodseku"/>
    <w:link w:val="Zkladntext"/>
    <w:uiPriority w:val="99"/>
    <w:semiHidden/>
    <w:rsid w:val="00063354"/>
    <w:rPr>
      <w:kern w:val="2"/>
      <w14:ligatures w14:val="standardContextual"/>
    </w:rPr>
  </w:style>
  <w:style w:type="table" w:customStyle="1" w:styleId="Deloittetable31">
    <w:name w:val="Deloitte table 31"/>
    <w:basedOn w:val="Normlnatabuka"/>
    <w:next w:val="Mriekatabuky"/>
    <w:uiPriority w:val="39"/>
    <w:unhideWhenUsed/>
    <w:rsid w:val="00952E7C"/>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50833">
      <w:bodyDiv w:val="1"/>
      <w:marLeft w:val="0"/>
      <w:marRight w:val="0"/>
      <w:marTop w:val="0"/>
      <w:marBottom w:val="0"/>
      <w:divBdr>
        <w:top w:val="none" w:sz="0" w:space="0" w:color="auto"/>
        <w:left w:val="none" w:sz="0" w:space="0" w:color="auto"/>
        <w:bottom w:val="none" w:sz="0" w:space="0" w:color="auto"/>
        <w:right w:val="none" w:sz="0" w:space="0" w:color="auto"/>
      </w:divBdr>
    </w:div>
    <w:div w:id="1801879336">
      <w:bodyDiv w:val="1"/>
      <w:marLeft w:val="0"/>
      <w:marRight w:val="0"/>
      <w:marTop w:val="0"/>
      <w:marBottom w:val="0"/>
      <w:divBdr>
        <w:top w:val="none" w:sz="0" w:space="0" w:color="auto"/>
        <w:left w:val="none" w:sz="0" w:space="0" w:color="auto"/>
        <w:bottom w:val="none" w:sz="0" w:space="0" w:color="auto"/>
        <w:right w:val="none" w:sz="0" w:space="0" w:color="auto"/>
      </w:divBdr>
    </w:div>
    <w:div w:id="21004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890</Words>
  <Characters>5077</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Šuchaň Daniel</dc:creator>
  <cp:keywords/>
  <dc:description/>
  <cp:lastModifiedBy>Morvayová Alena</cp:lastModifiedBy>
  <cp:revision>9</cp:revision>
  <dcterms:created xsi:type="dcterms:W3CDTF">2026-04-16T15:00:00Z</dcterms:created>
  <dcterms:modified xsi:type="dcterms:W3CDTF">2026-05-21T13:05:00Z</dcterms:modified>
</cp:coreProperties>
</file>