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5F345928" w:rsidR="00590007" w:rsidRPr="00F2693B" w:rsidRDefault="003B18A4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 w:rsidRPr="00F2693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>VÝZVA NA PREDKLADANIE PONÚK</w:t>
      </w:r>
    </w:p>
    <w:p w14:paraId="6834FF1D" w14:textId="5029334E" w:rsidR="003B18A4" w:rsidRDefault="003B18A4" w:rsidP="003B18A4">
      <w:pPr>
        <w:pStyle w:val="Odsekzoznamu"/>
        <w:spacing w:after="0"/>
        <w:ind w:left="360"/>
        <w:jc w:val="center"/>
        <w:rPr>
          <w:noProof/>
          <w:sz w:val="18"/>
        </w:rPr>
      </w:pPr>
      <w:r>
        <w:rPr>
          <w:rFonts w:cstheme="minorHAnsi"/>
          <w:sz w:val="18"/>
        </w:rPr>
        <w:t>podľa kap. 8</w:t>
      </w:r>
      <w:r w:rsidRPr="006F0867">
        <w:rPr>
          <w:rFonts w:cstheme="minorHAnsi"/>
          <w:sz w:val="18"/>
        </w:rPr>
        <w:t xml:space="preserve"> </w:t>
      </w:r>
      <w:r w:rsidRPr="006F0867">
        <w:rPr>
          <w:noProof/>
          <w:sz w:val="18"/>
        </w:rPr>
        <w:t xml:space="preserve">Metodického usmernenia Riadiaceho orgánu č. </w:t>
      </w:r>
      <w:r w:rsidR="00500041">
        <w:rPr>
          <w:noProof/>
          <w:sz w:val="18"/>
        </w:rPr>
        <w:t>2</w:t>
      </w:r>
      <w:r w:rsidRPr="006F0867">
        <w:rPr>
          <w:noProof/>
          <w:sz w:val="18"/>
        </w:rPr>
        <w:t>/202</w:t>
      </w:r>
      <w:r w:rsidR="00500041">
        <w:rPr>
          <w:noProof/>
          <w:sz w:val="18"/>
        </w:rPr>
        <w:t>5</w:t>
      </w:r>
      <w:r w:rsidR="008E7A4D">
        <w:rPr>
          <w:noProof/>
          <w:sz w:val="18"/>
        </w:rPr>
        <w:t xml:space="preserve"> o</w:t>
      </w:r>
      <w:r w:rsidRPr="006F0867">
        <w:rPr>
          <w:noProof/>
          <w:sz w:val="18"/>
        </w:rPr>
        <w:t xml:space="preserve"> obstarávan</w:t>
      </w:r>
      <w:r w:rsidR="008E7A4D">
        <w:rPr>
          <w:noProof/>
          <w:sz w:val="18"/>
        </w:rPr>
        <w:t>í</w:t>
      </w:r>
      <w:r w:rsidRPr="006F0867">
        <w:rPr>
          <w:noProof/>
          <w:sz w:val="18"/>
        </w:rPr>
        <w:t xml:space="preserve"> tovarov, služieb a stavebných prác pri implementáci</w:t>
      </w:r>
      <w:r w:rsidR="008E7A4D">
        <w:rPr>
          <w:noProof/>
          <w:sz w:val="18"/>
        </w:rPr>
        <w:t>i</w:t>
      </w:r>
      <w:r w:rsidRPr="006F0867">
        <w:rPr>
          <w:noProof/>
          <w:sz w:val="18"/>
        </w:rPr>
        <w:t xml:space="preserve"> projektových intervencií S</w:t>
      </w:r>
      <w:r w:rsidR="008E7A4D">
        <w:rPr>
          <w:noProof/>
          <w:sz w:val="18"/>
        </w:rPr>
        <w:t>trategického plánu</w:t>
      </w:r>
      <w:r w:rsidRPr="006F0867">
        <w:rPr>
          <w:noProof/>
          <w:sz w:val="18"/>
        </w:rPr>
        <w:t xml:space="preserve"> SPP 2023 – 2027</w:t>
      </w:r>
    </w:p>
    <w:p w14:paraId="723C3496" w14:textId="1DA1BA6B" w:rsidR="00CE6144" w:rsidRDefault="00CE6144" w:rsidP="003B18A4">
      <w:pPr>
        <w:pStyle w:val="Odsekzoznamu"/>
        <w:spacing w:after="0"/>
        <w:ind w:left="360"/>
        <w:jc w:val="center"/>
        <w:rPr>
          <w:rFonts w:cstheme="minorHAnsi"/>
          <w:sz w:val="18"/>
        </w:rPr>
      </w:pPr>
      <w:r>
        <w:rPr>
          <w:rFonts w:cstheme="minorHAnsi"/>
          <w:sz w:val="18"/>
        </w:rPr>
        <w:t>(ďalej len „Metodické usmernenie“)</w:t>
      </w:r>
    </w:p>
    <w:p w14:paraId="60795769" w14:textId="2A1B4E5B" w:rsidR="00CE6144" w:rsidRDefault="00CE6144" w:rsidP="003B18A4">
      <w:pPr>
        <w:pStyle w:val="Odsekzoznamu"/>
        <w:spacing w:after="0"/>
        <w:ind w:left="360"/>
        <w:jc w:val="center"/>
        <w:rPr>
          <w:rFonts w:cstheme="minorHAnsi"/>
          <w:sz w:val="18"/>
        </w:rPr>
      </w:pPr>
    </w:p>
    <w:p w14:paraId="7499D285" w14:textId="3AC961CE" w:rsidR="00CE6144" w:rsidRPr="00CE6144" w:rsidRDefault="00CE6144" w:rsidP="00F2693B">
      <w:pPr>
        <w:pStyle w:val="Odsekzoznamu"/>
        <w:numPr>
          <w:ilvl w:val="0"/>
          <w:numId w:val="3"/>
        </w:numPr>
        <w:tabs>
          <w:tab w:val="left" w:pos="1935"/>
        </w:tabs>
        <w:spacing w:after="0"/>
        <w:ind w:left="426" w:hanging="357"/>
        <w:rPr>
          <w:b/>
          <w:sz w:val="24"/>
          <w:u w:val="single"/>
        </w:rPr>
      </w:pPr>
      <w:r w:rsidRPr="003B18A4">
        <w:rPr>
          <w:b/>
          <w:sz w:val="24"/>
          <w:u w:val="single"/>
        </w:rPr>
        <w:t>Základné údaje:</w:t>
      </w:r>
    </w:p>
    <w:p w14:paraId="38822E66" w14:textId="5C9E7DD5" w:rsidR="003B18A4" w:rsidRPr="00CE6144" w:rsidRDefault="003B18A4" w:rsidP="00CE6144">
      <w:pPr>
        <w:pStyle w:val="Odsekzoznamu"/>
        <w:spacing w:after="0"/>
        <w:ind w:left="360"/>
        <w:jc w:val="center"/>
        <w:rPr>
          <w:noProof/>
          <w:sz w:val="18"/>
        </w:rPr>
      </w:pPr>
    </w:p>
    <w:tbl>
      <w:tblPr>
        <w:tblStyle w:val="Mriekatabuky"/>
        <w:tblpPr w:leftFromText="141" w:rightFromText="141" w:vertAnchor="text" w:horzAnchor="margin" w:tblpY="-29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2B746E" w:rsidRPr="00590007" w14:paraId="070B234A" w14:textId="77777777" w:rsidTr="002B746E">
        <w:trPr>
          <w:trHeight w:val="304"/>
        </w:trPr>
        <w:tc>
          <w:tcPr>
            <w:tcW w:w="4463" w:type="dxa"/>
          </w:tcPr>
          <w:p w14:paraId="0636A632" w14:textId="5AE9A02A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="Times New Roman"/>
                <w:b/>
              </w:rPr>
              <w:t>Obstarávateľ</w:t>
            </w:r>
            <w:r w:rsidRPr="00F2693B">
              <w:rPr>
                <w:rStyle w:val="Odkaznapoznmkupodiarou"/>
                <w:rFonts w:cs="Times New Roman"/>
                <w:b/>
              </w:rPr>
              <w:footnoteReference w:id="2"/>
            </w:r>
            <w:r w:rsidR="00DF2EE5">
              <w:rPr>
                <w:rFonts w:cs="Times New Roman"/>
                <w:b/>
                <w:vertAlign w:val="superscript"/>
              </w:rPr>
              <w:t>)</w:t>
            </w:r>
            <w:r w:rsidRPr="00F2693B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4463" w:type="dxa"/>
          </w:tcPr>
          <w:p w14:paraId="79927872" w14:textId="53CA8939" w:rsidR="001612DA" w:rsidRPr="001612DA" w:rsidRDefault="001612DA" w:rsidP="001612DA">
            <w:pPr>
              <w:rPr>
                <w:rFonts w:cstheme="minorHAnsi"/>
              </w:rPr>
            </w:pPr>
            <w:r w:rsidRPr="001612DA">
              <w:rPr>
                <w:rFonts w:cstheme="minorHAnsi"/>
              </w:rPr>
              <w:t>PEKÁRSTVO ŽIKLA s.r.o.</w:t>
            </w:r>
          </w:p>
          <w:p w14:paraId="1BFF2700" w14:textId="067A51AB" w:rsidR="001612DA" w:rsidRPr="001612DA" w:rsidRDefault="001612DA" w:rsidP="001612DA">
            <w:pPr>
              <w:rPr>
                <w:rFonts w:cstheme="minorHAnsi"/>
                <w:color w:val="000000"/>
              </w:rPr>
            </w:pPr>
            <w:r w:rsidRPr="001612DA">
              <w:rPr>
                <w:rFonts w:cstheme="minorHAnsi"/>
                <w:color w:val="000000"/>
              </w:rPr>
              <w:t>SNP 10/83, 956 41 Uhrovec</w:t>
            </w:r>
          </w:p>
          <w:p w14:paraId="1D9BD282" w14:textId="17360C0A" w:rsidR="001612DA" w:rsidRDefault="001612DA" w:rsidP="001612DA">
            <w:pPr>
              <w:rPr>
                <w:rFonts w:cstheme="minorHAnsi"/>
                <w:color w:val="000000"/>
              </w:rPr>
            </w:pPr>
            <w:r w:rsidRPr="001612DA">
              <w:rPr>
                <w:rFonts w:eastAsia="Times New Roman" w:cstheme="minorHAnsi"/>
                <w:color w:val="000000"/>
                <w:lang w:eastAsia="sk-SK"/>
              </w:rPr>
              <w:t xml:space="preserve">IČO: </w:t>
            </w:r>
            <w:r w:rsidRPr="001612DA">
              <w:rPr>
                <w:rFonts w:cstheme="minorHAnsi"/>
                <w:color w:val="000000"/>
              </w:rPr>
              <w:t>54308399</w:t>
            </w:r>
          </w:p>
          <w:p w14:paraId="0F78A690" w14:textId="54F65713" w:rsidR="001612DA" w:rsidRDefault="001612DA" w:rsidP="001612DA">
            <w:pPr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 xml:space="preserve">DIČ: </w:t>
            </w:r>
            <w:r w:rsidRPr="001612DA">
              <w:rPr>
                <w:rFonts w:eastAsia="Times New Roman" w:cstheme="minorHAnsi"/>
                <w:color w:val="000000"/>
                <w:lang w:eastAsia="sk-SK"/>
              </w:rPr>
              <w:t>2121629444</w:t>
            </w:r>
          </w:p>
          <w:p w14:paraId="09774D4C" w14:textId="48D98C12" w:rsidR="001612DA" w:rsidRPr="001612DA" w:rsidRDefault="001612DA" w:rsidP="001612DA">
            <w:pPr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 xml:space="preserve">IČ DPH: </w:t>
            </w:r>
            <w:r>
              <w:t xml:space="preserve"> </w:t>
            </w:r>
            <w:r w:rsidRPr="001612DA">
              <w:rPr>
                <w:rFonts w:eastAsia="Times New Roman" w:cstheme="minorHAnsi"/>
                <w:color w:val="000000"/>
                <w:lang w:eastAsia="sk-SK"/>
              </w:rPr>
              <w:t>SK2121629444</w:t>
            </w:r>
          </w:p>
          <w:p w14:paraId="032394AB" w14:textId="326B91D4" w:rsidR="002B746E" w:rsidRPr="001612DA" w:rsidRDefault="002B746E" w:rsidP="002B746E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2B746E" w:rsidRPr="00590007" w14:paraId="48E23581" w14:textId="77777777" w:rsidTr="002B746E">
        <w:trPr>
          <w:trHeight w:val="304"/>
        </w:trPr>
        <w:tc>
          <w:tcPr>
            <w:tcW w:w="4463" w:type="dxa"/>
          </w:tcPr>
          <w:p w14:paraId="51558615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  <w:vertAlign w:val="superscript"/>
              </w:rPr>
            </w:pPr>
            <w:r w:rsidRPr="00F2693B">
              <w:rPr>
                <w:rFonts w:cs="Times New Roman"/>
                <w:b/>
              </w:rPr>
              <w:t>V zastúpení:</w:t>
            </w:r>
            <w:r w:rsidRPr="00F2693B">
              <w:rPr>
                <w:rStyle w:val="Odkaznapoznmkupodiarou"/>
                <w:rFonts w:cs="Times New Roman"/>
                <w:b/>
              </w:rPr>
              <w:footnoteReference w:id="3"/>
            </w:r>
            <w:r w:rsidRPr="00F2693B">
              <w:rPr>
                <w:rFonts w:cs="Times New Roman"/>
                <w:b/>
                <w:vertAlign w:val="superscript"/>
              </w:rPr>
              <w:t>)</w:t>
            </w:r>
          </w:p>
        </w:tc>
        <w:tc>
          <w:tcPr>
            <w:tcW w:w="4463" w:type="dxa"/>
          </w:tcPr>
          <w:p w14:paraId="5905A6F0" w14:textId="5C9E6C0B" w:rsidR="002B746E" w:rsidRPr="001612DA" w:rsidRDefault="001612DA" w:rsidP="002B746E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 xml:space="preserve">Dominik </w:t>
            </w:r>
            <w:proofErr w:type="spellStart"/>
            <w:r>
              <w:rPr>
                <w:rFonts w:eastAsia="Times New Roman" w:cstheme="minorHAnsi"/>
                <w:color w:val="000000"/>
                <w:lang w:eastAsia="sk-SK"/>
              </w:rPr>
              <w:t>Flóro</w:t>
            </w:r>
            <w:proofErr w:type="spellEnd"/>
          </w:p>
        </w:tc>
      </w:tr>
      <w:tr w:rsidR="002B746E" w:rsidRPr="00590007" w14:paraId="2F084B91" w14:textId="77777777" w:rsidTr="002B746E">
        <w:trPr>
          <w:trHeight w:val="304"/>
        </w:trPr>
        <w:tc>
          <w:tcPr>
            <w:tcW w:w="4463" w:type="dxa"/>
          </w:tcPr>
          <w:p w14:paraId="292B7A6B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theme="minorHAnsi"/>
                <w:b/>
              </w:rPr>
              <w:t>Číslo výzvy na predkladanie žiadosti o príspevok</w:t>
            </w:r>
          </w:p>
        </w:tc>
        <w:tc>
          <w:tcPr>
            <w:tcW w:w="4463" w:type="dxa"/>
          </w:tcPr>
          <w:p w14:paraId="04042B93" w14:textId="6CD8E933" w:rsidR="002B746E" w:rsidRPr="001612DA" w:rsidRDefault="001612DA" w:rsidP="002B746E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1612DA">
              <w:rPr>
                <w:rFonts w:eastAsia="Times New Roman" w:cstheme="minorHAnsi"/>
                <w:color w:val="000000"/>
                <w:lang w:eastAsia="sk-SK"/>
              </w:rPr>
              <w:t>6/SP/2026-73.7</w:t>
            </w:r>
          </w:p>
        </w:tc>
      </w:tr>
      <w:tr w:rsidR="002B746E" w:rsidRPr="00590007" w14:paraId="7211EE6A" w14:textId="77777777" w:rsidTr="002B746E">
        <w:trPr>
          <w:trHeight w:val="304"/>
        </w:trPr>
        <w:tc>
          <w:tcPr>
            <w:tcW w:w="4463" w:type="dxa"/>
          </w:tcPr>
          <w:p w14:paraId="6C47D71C" w14:textId="77777777" w:rsidR="002B746E" w:rsidRPr="00F2693B" w:rsidRDefault="002B746E" w:rsidP="002B746E">
            <w:pPr>
              <w:spacing w:before="60" w:after="60"/>
              <w:rPr>
                <w:rFonts w:cstheme="minorHAnsi"/>
                <w:b/>
              </w:rPr>
            </w:pPr>
            <w:r w:rsidRPr="00F2693B">
              <w:rPr>
                <w:rFonts w:cstheme="minorHAnsi"/>
                <w:b/>
              </w:rPr>
              <w:t>Kód intervencie</w:t>
            </w:r>
            <w:r w:rsidRPr="00F2693B">
              <w:rPr>
                <w:rStyle w:val="Odkaznapoznmkupodiarou"/>
                <w:rFonts w:cstheme="minorHAnsi"/>
                <w:b/>
              </w:rPr>
              <w:footnoteReference w:id="4"/>
            </w:r>
            <w:r w:rsidRPr="00F2693B">
              <w:rPr>
                <w:rFonts w:cstheme="minorHAnsi"/>
                <w:b/>
                <w:vertAlign w:val="superscript"/>
              </w:rPr>
              <w:t>)</w:t>
            </w:r>
          </w:p>
        </w:tc>
        <w:tc>
          <w:tcPr>
            <w:tcW w:w="4463" w:type="dxa"/>
          </w:tcPr>
          <w:p w14:paraId="1B143A6B" w14:textId="0454A704" w:rsidR="002B746E" w:rsidRPr="001612DA" w:rsidRDefault="001612DA" w:rsidP="002B746E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1612DA">
              <w:rPr>
                <w:rFonts w:eastAsia="Times New Roman" w:cstheme="minorHAnsi"/>
                <w:color w:val="000000"/>
                <w:lang w:eastAsia="sk-SK"/>
              </w:rPr>
              <w:t>73.7</w:t>
            </w:r>
          </w:p>
        </w:tc>
      </w:tr>
      <w:tr w:rsidR="002B746E" w:rsidRPr="00590007" w14:paraId="3CB2A1DD" w14:textId="77777777" w:rsidTr="002B746E">
        <w:trPr>
          <w:trHeight w:val="304"/>
        </w:trPr>
        <w:tc>
          <w:tcPr>
            <w:tcW w:w="4463" w:type="dxa"/>
          </w:tcPr>
          <w:p w14:paraId="34F446A7" w14:textId="77777777" w:rsidR="002B746E" w:rsidRPr="00F2693B" w:rsidRDefault="002B746E" w:rsidP="002B746E">
            <w:pPr>
              <w:spacing w:before="60" w:after="60"/>
              <w:rPr>
                <w:rFonts w:cstheme="minorHAnsi"/>
                <w:b/>
                <w:vertAlign w:val="superscript"/>
              </w:rPr>
            </w:pPr>
            <w:r w:rsidRPr="00F2693B">
              <w:rPr>
                <w:rFonts w:cstheme="minorHAnsi"/>
                <w:b/>
              </w:rPr>
              <w:t>Názov intervencie</w:t>
            </w:r>
            <w:r w:rsidRPr="00F2693B">
              <w:rPr>
                <w:rFonts w:cstheme="minorHAnsi"/>
                <w:b/>
                <w:vertAlign w:val="superscript"/>
              </w:rPr>
              <w:t>3)</w:t>
            </w:r>
          </w:p>
        </w:tc>
        <w:tc>
          <w:tcPr>
            <w:tcW w:w="4463" w:type="dxa"/>
          </w:tcPr>
          <w:p w14:paraId="1A474F1C" w14:textId="41E51065" w:rsidR="002B746E" w:rsidRPr="001612DA" w:rsidRDefault="001612DA" w:rsidP="002B746E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1612DA">
              <w:rPr>
                <w:rFonts w:eastAsia="Times New Roman" w:cstheme="minorHAnsi"/>
                <w:color w:val="000000"/>
                <w:lang w:eastAsia="sk-SK"/>
              </w:rPr>
              <w:t>Investície do rozšírenia kapacít v spracovateľských podnikoch</w:t>
            </w:r>
          </w:p>
        </w:tc>
      </w:tr>
      <w:tr w:rsidR="002B746E" w:rsidRPr="00590007" w14:paraId="3B686FC9" w14:textId="77777777" w:rsidTr="002B746E">
        <w:trPr>
          <w:trHeight w:val="304"/>
        </w:trPr>
        <w:tc>
          <w:tcPr>
            <w:tcW w:w="4463" w:type="dxa"/>
          </w:tcPr>
          <w:p w14:paraId="2BF87A12" w14:textId="77777777" w:rsidR="002B746E" w:rsidRPr="00F2693B" w:rsidRDefault="002B746E" w:rsidP="002B746E">
            <w:pPr>
              <w:spacing w:before="60" w:after="60"/>
              <w:rPr>
                <w:rFonts w:cstheme="minorHAnsi"/>
                <w:b/>
                <w:vertAlign w:val="superscript"/>
              </w:rPr>
            </w:pPr>
            <w:r w:rsidRPr="00F2693B">
              <w:rPr>
                <w:rFonts w:cstheme="minorHAnsi"/>
                <w:b/>
              </w:rPr>
              <w:t>Typ intervencie</w:t>
            </w:r>
            <w:r w:rsidRPr="00F2693B">
              <w:rPr>
                <w:rFonts w:cstheme="minorHAnsi"/>
                <w:b/>
                <w:vertAlign w:val="superscript"/>
              </w:rPr>
              <w:t>3)</w:t>
            </w:r>
          </w:p>
        </w:tc>
        <w:tc>
          <w:tcPr>
            <w:tcW w:w="4463" w:type="dxa"/>
          </w:tcPr>
          <w:p w14:paraId="766FD5C2" w14:textId="5C8F78CB" w:rsidR="002B746E" w:rsidRPr="001612DA" w:rsidRDefault="001612DA" w:rsidP="002B746E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1612DA">
              <w:rPr>
                <w:rFonts w:eastAsia="Times New Roman" w:cstheme="minorHAnsi"/>
                <w:color w:val="000000"/>
                <w:lang w:eastAsia="sk-SK"/>
              </w:rPr>
              <w:t>Investície vrátane investícií do zavlažovania</w:t>
            </w:r>
          </w:p>
        </w:tc>
      </w:tr>
      <w:tr w:rsidR="002B746E" w:rsidRPr="00590007" w14:paraId="5CC78D58" w14:textId="77777777" w:rsidTr="002B746E">
        <w:trPr>
          <w:trHeight w:val="304"/>
        </w:trPr>
        <w:tc>
          <w:tcPr>
            <w:tcW w:w="4463" w:type="dxa"/>
          </w:tcPr>
          <w:p w14:paraId="309532AF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  <w:vertAlign w:val="superscript"/>
              </w:rPr>
            </w:pPr>
            <w:r w:rsidRPr="00F2693B">
              <w:rPr>
                <w:rFonts w:cs="Times New Roman"/>
                <w:b/>
              </w:rPr>
              <w:t>Názov projektu a kód žiadosti o príspevok</w:t>
            </w:r>
            <w:r w:rsidRPr="00F2693B">
              <w:rPr>
                <w:rStyle w:val="Odkaznapoznmkupodiarou"/>
                <w:rFonts w:cs="Times New Roman"/>
                <w:b/>
              </w:rPr>
              <w:footnoteReference w:id="5"/>
            </w:r>
            <w:r w:rsidRPr="00F2693B">
              <w:rPr>
                <w:rFonts w:cs="Times New Roman"/>
                <w:b/>
                <w:vertAlign w:val="superscript"/>
              </w:rPr>
              <w:t>)</w:t>
            </w:r>
          </w:p>
        </w:tc>
        <w:tc>
          <w:tcPr>
            <w:tcW w:w="4463" w:type="dxa"/>
          </w:tcPr>
          <w:p w14:paraId="66C6340C" w14:textId="171CF9A3" w:rsidR="002B746E" w:rsidRPr="001612DA" w:rsidRDefault="001612DA" w:rsidP="002B746E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1612DA">
              <w:rPr>
                <w:rFonts w:eastAsia="Times New Roman" w:cstheme="minorHAnsi"/>
                <w:color w:val="000000"/>
                <w:lang w:eastAsia="sk-SK"/>
              </w:rPr>
              <w:t>Rozšírenie spracovateľských kapacít PEKÁRSTVO ŽIKLA s.r.o.</w:t>
            </w:r>
          </w:p>
        </w:tc>
      </w:tr>
      <w:tr w:rsidR="002B746E" w:rsidRPr="00590007" w14:paraId="6098EF30" w14:textId="77777777" w:rsidTr="002B746E">
        <w:trPr>
          <w:trHeight w:val="504"/>
        </w:trPr>
        <w:tc>
          <w:tcPr>
            <w:tcW w:w="4463" w:type="dxa"/>
          </w:tcPr>
          <w:p w14:paraId="6E8652C4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="Times New Roman"/>
                <w:b/>
              </w:rPr>
              <w:t>Kontaktné údaje pre zabezpečenie komunikácie s potenciálnymi dodávateľmi</w:t>
            </w:r>
          </w:p>
        </w:tc>
        <w:tc>
          <w:tcPr>
            <w:tcW w:w="4463" w:type="dxa"/>
          </w:tcPr>
          <w:p w14:paraId="47F9B652" w14:textId="77777777" w:rsidR="002B746E" w:rsidRDefault="001612DA" w:rsidP="002B746E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 xml:space="preserve">Dominik </w:t>
            </w:r>
            <w:proofErr w:type="spellStart"/>
            <w:r>
              <w:rPr>
                <w:rFonts w:eastAsia="Times New Roman" w:cstheme="minorHAnsi"/>
                <w:color w:val="000000"/>
                <w:lang w:eastAsia="sk-SK"/>
              </w:rPr>
              <w:t>Flóro</w:t>
            </w:r>
            <w:proofErr w:type="spellEnd"/>
          </w:p>
          <w:p w14:paraId="7EC4782A" w14:textId="77777777" w:rsidR="001612DA" w:rsidRDefault="001612DA" w:rsidP="002B746E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1612DA">
              <w:rPr>
                <w:rFonts w:eastAsia="Times New Roman" w:cstheme="minorHAnsi"/>
                <w:color w:val="000000"/>
                <w:lang w:eastAsia="sk-SK"/>
              </w:rPr>
              <w:t>floro@pekarenzikla.sk</w:t>
            </w:r>
          </w:p>
          <w:p w14:paraId="32221553" w14:textId="7D1804D9" w:rsidR="001612DA" w:rsidRPr="001612DA" w:rsidRDefault="001612DA" w:rsidP="002B746E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1612DA">
              <w:rPr>
                <w:rFonts w:eastAsia="Times New Roman" w:cstheme="minorHAnsi"/>
                <w:color w:val="000000"/>
                <w:lang w:eastAsia="sk-SK"/>
              </w:rPr>
              <w:t>+421 907 528 739</w:t>
            </w:r>
          </w:p>
        </w:tc>
      </w:tr>
      <w:tr w:rsidR="002B746E" w:rsidRPr="00590007" w14:paraId="6F9CF7BB" w14:textId="77777777" w:rsidTr="002B746E">
        <w:trPr>
          <w:trHeight w:val="504"/>
        </w:trPr>
        <w:tc>
          <w:tcPr>
            <w:tcW w:w="4463" w:type="dxa"/>
          </w:tcPr>
          <w:p w14:paraId="661CDCB3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</w:tcPr>
          <w:p w14:paraId="7C4BBE2D" w14:textId="3AF524AA" w:rsidR="002B746E" w:rsidRPr="001612DA" w:rsidRDefault="007F736C" w:rsidP="002B746E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 xml:space="preserve">Predmetom zákazky je </w:t>
            </w:r>
            <w:proofErr w:type="spellStart"/>
            <w:r w:rsidRPr="007F736C">
              <w:rPr>
                <w:rFonts w:eastAsia="Times New Roman" w:cstheme="minorHAnsi"/>
                <w:color w:val="000000"/>
                <w:lang w:eastAsia="sk-SK"/>
              </w:rPr>
              <w:t>šokovací</w:t>
            </w:r>
            <w:proofErr w:type="spellEnd"/>
            <w:r w:rsidRPr="007F736C">
              <w:rPr>
                <w:rFonts w:eastAsia="Times New Roman" w:cstheme="minorHAnsi"/>
                <w:color w:val="000000"/>
                <w:lang w:eastAsia="sk-SK"/>
              </w:rPr>
              <w:t xml:space="preserve"> box, baliaci stroj</w:t>
            </w:r>
            <w:r w:rsidR="002372CC">
              <w:rPr>
                <w:rFonts w:eastAsia="Times New Roman" w:cstheme="minorHAnsi"/>
                <w:color w:val="000000"/>
                <w:lang w:eastAsia="sk-SK"/>
              </w:rPr>
              <w:t xml:space="preserve">, </w:t>
            </w:r>
            <w:r w:rsidR="002372CC" w:rsidRPr="007F736C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2372CC" w:rsidRPr="007F736C">
              <w:rPr>
                <w:rFonts w:eastAsia="Times New Roman" w:cstheme="minorHAnsi"/>
                <w:color w:val="000000"/>
                <w:lang w:eastAsia="sk-SK"/>
              </w:rPr>
              <w:t>deličk</w:t>
            </w:r>
            <w:r w:rsidR="002372CC">
              <w:rPr>
                <w:rFonts w:eastAsia="Times New Roman" w:cstheme="minorHAnsi"/>
                <w:color w:val="000000"/>
                <w:lang w:eastAsia="sk-SK"/>
              </w:rPr>
              <w:t>a</w:t>
            </w:r>
            <w:proofErr w:type="spellEnd"/>
            <w:r w:rsidR="002372CC" w:rsidRPr="007F736C">
              <w:rPr>
                <w:rFonts w:eastAsia="Times New Roman" w:cstheme="minorHAnsi"/>
                <w:color w:val="000000"/>
                <w:lang w:eastAsia="sk-SK"/>
              </w:rPr>
              <w:t xml:space="preserve"> cesta </w:t>
            </w:r>
            <w:r w:rsidRPr="007F736C">
              <w:rPr>
                <w:rFonts w:eastAsia="Times New Roman" w:cstheme="minorHAnsi"/>
                <w:color w:val="000000"/>
                <w:lang w:eastAsia="sk-SK"/>
              </w:rPr>
              <w:t>a</w:t>
            </w:r>
            <w:r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Pr="007F736C">
              <w:rPr>
                <w:rFonts w:eastAsia="Times New Roman" w:cstheme="minorHAnsi"/>
                <w:color w:val="000000"/>
                <w:lang w:eastAsia="sk-SK"/>
              </w:rPr>
              <w:t>parn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á </w:t>
            </w:r>
            <w:r w:rsidRPr="007F736C">
              <w:rPr>
                <w:rFonts w:eastAsia="Times New Roman" w:cstheme="minorHAnsi"/>
                <w:color w:val="000000"/>
                <w:lang w:eastAsia="sk-SK"/>
              </w:rPr>
              <w:t>varn</w:t>
            </w:r>
            <w:r>
              <w:rPr>
                <w:rFonts w:eastAsia="Times New Roman" w:cstheme="minorHAnsi"/>
                <w:color w:val="000000"/>
                <w:lang w:eastAsia="sk-SK"/>
              </w:rPr>
              <w:t>á</w:t>
            </w:r>
            <w:r w:rsidRPr="007F736C">
              <w:rPr>
                <w:rFonts w:eastAsia="Times New Roman" w:cstheme="minorHAnsi"/>
                <w:color w:val="000000"/>
                <w:lang w:eastAsia="sk-SK"/>
              </w:rPr>
              <w:t xml:space="preserve"> komor</w:t>
            </w:r>
            <w:r>
              <w:rPr>
                <w:rFonts w:eastAsia="Times New Roman" w:cstheme="minorHAnsi"/>
                <w:color w:val="000000"/>
                <w:lang w:eastAsia="sk-SK"/>
              </w:rPr>
              <w:t>a.</w:t>
            </w:r>
          </w:p>
          <w:p w14:paraId="0270BAB2" w14:textId="77777777" w:rsidR="007F736C" w:rsidRDefault="007F736C" w:rsidP="00CD191C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200CDC3D" w14:textId="1C352E82" w:rsidR="00C5650B" w:rsidRDefault="00CD191C" w:rsidP="00CD191C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CD191C">
              <w:rPr>
                <w:rFonts w:eastAsia="Times New Roman" w:cstheme="minorHAnsi"/>
                <w:color w:val="000000"/>
                <w:lang w:eastAsia="sk-SK"/>
              </w:rPr>
              <w:t xml:space="preserve">Vymedzenie predmetu </w:t>
            </w:r>
            <w:r>
              <w:rPr>
                <w:rFonts w:eastAsia="Times New Roman" w:cstheme="minorHAnsi"/>
                <w:color w:val="000000"/>
                <w:lang w:eastAsia="sk-SK"/>
              </w:rPr>
              <w:t>zákazky</w:t>
            </w:r>
            <w:r w:rsidRPr="00CD191C">
              <w:rPr>
                <w:rFonts w:eastAsia="Times New Roman" w:cstheme="minorHAnsi"/>
                <w:color w:val="000000"/>
                <w:lang w:eastAsia="sk-SK"/>
              </w:rPr>
              <w:t xml:space="preserve"> je uvedené v Prílohe č. 1 Rozpočet a technická špecifikácia </w:t>
            </w:r>
            <w:r>
              <w:rPr>
                <w:rFonts w:eastAsia="Times New Roman" w:cstheme="minorHAnsi"/>
                <w:color w:val="000000"/>
                <w:lang w:eastAsia="sk-SK"/>
              </w:rPr>
              <w:t>–</w:t>
            </w:r>
            <w:r w:rsidRPr="00CD191C">
              <w:rPr>
                <w:rFonts w:eastAsia="Times New Roman" w:cstheme="minorHAnsi"/>
                <w:color w:val="000000"/>
                <w:lang w:eastAsia="sk-SK"/>
              </w:rPr>
              <w:t xml:space="preserve"> technológie</w:t>
            </w:r>
            <w:r w:rsidR="00C5650B">
              <w:rPr>
                <w:rFonts w:eastAsia="Times New Roman" w:cstheme="minorHAnsi"/>
                <w:color w:val="000000"/>
                <w:lang w:eastAsia="sk-SK"/>
              </w:rPr>
              <w:t>.</w:t>
            </w:r>
          </w:p>
          <w:p w14:paraId="3F45E6CD" w14:textId="77777777" w:rsidR="00C5650B" w:rsidRDefault="00C5650B" w:rsidP="00CD191C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23A6E16D" w14:textId="4B1D2561" w:rsidR="00C5650B" w:rsidRDefault="00C5650B" w:rsidP="00CD191C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C5650B">
              <w:rPr>
                <w:rFonts w:eastAsia="Times New Roman" w:cstheme="minorHAnsi"/>
                <w:color w:val="000000"/>
                <w:lang w:eastAsia="sk-SK"/>
              </w:rPr>
              <w:t xml:space="preserve">Miesto dodania predmetu zákazky: 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sídlo obstarávateľa, </w:t>
            </w:r>
            <w:r w:rsidRPr="00C5650B">
              <w:rPr>
                <w:rFonts w:eastAsia="Times New Roman" w:cstheme="minorHAnsi"/>
                <w:color w:val="000000"/>
                <w:lang w:eastAsia="sk-SK"/>
              </w:rPr>
              <w:t>resp. prevádzka obstarávateľa podľa pokynov obstarávateľa.</w:t>
            </w:r>
          </w:p>
          <w:p w14:paraId="0F08E9AA" w14:textId="77777777" w:rsidR="00CD191C" w:rsidRPr="00CD191C" w:rsidRDefault="00CD191C" w:rsidP="00CD191C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7E153F7F" w14:textId="3EEF52A6" w:rsidR="00CD191C" w:rsidRPr="00CD191C" w:rsidRDefault="00CD191C" w:rsidP="00CD191C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CD191C">
              <w:rPr>
                <w:rFonts w:eastAsia="Times New Roman" w:cstheme="minorHAnsi"/>
                <w:color w:val="000000"/>
                <w:lang w:eastAsia="sk-SK"/>
              </w:rPr>
              <w:t>Spoločný slovník obstarávania (CPV):</w:t>
            </w:r>
          </w:p>
          <w:p w14:paraId="4523205A" w14:textId="7F37D6B7" w:rsidR="002B746E" w:rsidRPr="001612DA" w:rsidRDefault="00CD191C" w:rsidP="002B746E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CD191C">
              <w:rPr>
                <w:rFonts w:eastAsia="Times New Roman" w:cstheme="minorHAnsi"/>
                <w:color w:val="000000"/>
                <w:lang w:eastAsia="sk-SK"/>
              </w:rPr>
              <w:t>42215000-6 - Zariadenia na priemyselnú prípravu alebo výrobu potravín alebo nápojov</w:t>
            </w:r>
          </w:p>
        </w:tc>
      </w:tr>
    </w:tbl>
    <w:p w14:paraId="7F8DD60A" w14:textId="7F6B293E" w:rsidR="00590007" w:rsidRDefault="00590007" w:rsidP="00590007">
      <w:pPr>
        <w:spacing w:after="0" w:line="240" w:lineRule="auto"/>
        <w:jc w:val="both"/>
        <w:rPr>
          <w:color w:val="000000"/>
        </w:rPr>
      </w:pPr>
    </w:p>
    <w:p w14:paraId="4D1A1C2B" w14:textId="77777777" w:rsidR="002B746E" w:rsidRPr="005B49E6" w:rsidRDefault="002B746E" w:rsidP="00590007">
      <w:pPr>
        <w:spacing w:after="0" w:line="240" w:lineRule="auto"/>
        <w:jc w:val="both"/>
        <w:rPr>
          <w:color w:val="000000"/>
        </w:rPr>
      </w:pPr>
    </w:p>
    <w:p w14:paraId="3C280AE7" w14:textId="7BC7F6B7" w:rsidR="00590007" w:rsidRPr="003B18A4" w:rsidRDefault="00590007" w:rsidP="00F2693B">
      <w:pPr>
        <w:pStyle w:val="Zkladntext2"/>
        <w:numPr>
          <w:ilvl w:val="0"/>
          <w:numId w:val="3"/>
        </w:numPr>
        <w:tabs>
          <w:tab w:val="left" w:pos="426"/>
        </w:tabs>
        <w:spacing w:after="240"/>
        <w:ind w:left="426"/>
        <w:rPr>
          <w:rFonts w:asciiTheme="minorHAnsi" w:hAnsiTheme="minorHAnsi"/>
          <w:u w:val="single"/>
        </w:rPr>
      </w:pPr>
      <w:r w:rsidRPr="003B18A4">
        <w:rPr>
          <w:rFonts w:asciiTheme="minorHAnsi" w:hAnsiTheme="minorHAnsi"/>
          <w:u w:val="single"/>
        </w:rPr>
        <w:t>Názov zákazky</w:t>
      </w:r>
      <w:r w:rsidR="00C55E13" w:rsidRPr="003B18A4">
        <w:rPr>
          <w:rFonts w:asciiTheme="minorHAnsi" w:hAnsiTheme="minorHAnsi"/>
          <w:u w:val="single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25"/>
        <w:gridCol w:w="1701"/>
        <w:gridCol w:w="3822"/>
      </w:tblGrid>
      <w:tr w:rsidR="00590007" w:rsidRPr="002B746E" w14:paraId="33AA83BC" w14:textId="77777777" w:rsidTr="00043A1A">
        <w:tc>
          <w:tcPr>
            <w:tcW w:w="3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2B746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Názov zákazky</w:t>
            </w:r>
          </w:p>
        </w:tc>
        <w:tc>
          <w:tcPr>
            <w:tcW w:w="5523" w:type="dxa"/>
            <w:gridSpan w:val="2"/>
          </w:tcPr>
          <w:p w14:paraId="45ADB2A0" w14:textId="0EA03E49" w:rsidR="00590007" w:rsidRPr="002B746E" w:rsidRDefault="00CD191C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CD191C">
              <w:rPr>
                <w:rFonts w:cstheme="minorHAnsi"/>
                <w:b/>
              </w:rPr>
              <w:t>Rozšírenie spracovateľských kapacít PEKÁRSTVO ŽIKLA s.r.o. – technológie</w:t>
            </w:r>
          </w:p>
        </w:tc>
      </w:tr>
      <w:tr w:rsidR="00590007" w:rsidRPr="002B746E" w14:paraId="6F73C909" w14:textId="77777777" w:rsidTr="00043A1A">
        <w:tc>
          <w:tcPr>
            <w:tcW w:w="3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CC7C3DC" w:rsidR="00590007" w:rsidRPr="002B746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CD191C">
              <w:rPr>
                <w:rFonts w:cstheme="minorHAnsi"/>
                <w:b/>
                <w:strike/>
              </w:rPr>
              <w:t>Rozdelenie</w:t>
            </w:r>
            <w:r w:rsidRPr="002B746E">
              <w:rPr>
                <w:rFonts w:cstheme="minorHAnsi"/>
                <w:b/>
              </w:rPr>
              <w:t>/spojenie</w:t>
            </w:r>
            <w:r w:rsidR="00746CDA" w:rsidRPr="002B746E">
              <w:rPr>
                <w:rStyle w:val="Odkaznapoznmkupodiarou"/>
                <w:rFonts w:cstheme="minorHAnsi"/>
                <w:b/>
              </w:rPr>
              <w:footnoteReference w:id="6"/>
            </w:r>
            <w:r w:rsidR="00B850FC" w:rsidRPr="002B746E">
              <w:rPr>
                <w:rFonts w:cstheme="minorHAnsi"/>
                <w:b/>
                <w:vertAlign w:val="superscript"/>
              </w:rPr>
              <w:t>)</w:t>
            </w:r>
            <w:r w:rsidRPr="002B746E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5523" w:type="dxa"/>
            <w:gridSpan w:val="2"/>
          </w:tcPr>
          <w:p w14:paraId="3F27A864" w14:textId="11DC1996" w:rsidR="00590007" w:rsidRPr="007F736C" w:rsidRDefault="007F736C" w:rsidP="00AF170B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7F736C">
              <w:rPr>
                <w:rFonts w:cstheme="minorHAnsi"/>
                <w:bCs/>
                <w:sz w:val="20"/>
                <w:szCs w:val="20"/>
              </w:rPr>
              <w:t>Zákazka nie je rozdelená na časti. Predmet zákazky sa obstaráva ako jeden funkčný celok pozostávajúci zo 4 ks zariadení určených na rozšírenie spracovateľských kapacít PEKÁRSTVO ŽIKLA s.r.o. Spojenie predmetu zákazky nebráni účasti hospodárskych subjektov schopných dodať celý predmet zákazky</w:t>
            </w:r>
            <w:r w:rsidR="00043A1A">
              <w:rPr>
                <w:rFonts w:cstheme="minorHAnsi"/>
                <w:bCs/>
                <w:sz w:val="20"/>
                <w:szCs w:val="20"/>
              </w:rPr>
              <w:t>.</w:t>
            </w:r>
            <w:r w:rsidR="002372C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372CC" w:rsidRPr="002372CC">
              <w:rPr>
                <w:rFonts w:cstheme="minorHAnsi"/>
                <w:bCs/>
                <w:sz w:val="20"/>
                <w:szCs w:val="20"/>
              </w:rPr>
              <w:t>Uchádzač je povinný predložiť ponuku na celý predmet zákazky, t. j. na všetky uvedené položky. Predloženie ponuky len na časť predmetu zákazky sa nepripúšťa.</w:t>
            </w:r>
          </w:p>
        </w:tc>
      </w:tr>
      <w:tr w:rsidR="00590007" w:rsidRPr="002B746E" w14:paraId="51941B2C" w14:textId="77777777" w:rsidTr="00043A1A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2B746E" w:rsidRDefault="00590007" w:rsidP="00AF170B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2B746E">
              <w:rPr>
                <w:rFonts w:cstheme="minorHAnsi"/>
                <w:b/>
              </w:rPr>
              <w:t>P.č</w:t>
            </w:r>
            <w:proofErr w:type="spellEnd"/>
            <w:r w:rsidRPr="002B746E">
              <w:rPr>
                <w:rFonts w:cstheme="minorHAnsi"/>
                <w:b/>
              </w:rPr>
              <w:t>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2B746E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Predmet zákazky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2B746E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ks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2B746E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 xml:space="preserve">PHZ bez DPH              </w:t>
            </w:r>
            <w:r w:rsidRPr="002B746E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38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1DC42FB6" w:rsidR="00590007" w:rsidRPr="002B746E" w:rsidRDefault="002B746E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</w:t>
            </w:r>
            <w:r w:rsidR="00590007" w:rsidRPr="002B746E">
              <w:rPr>
                <w:rFonts w:cstheme="minorHAnsi"/>
                <w:b/>
              </w:rPr>
              <w:t>pis predmetu zákazky</w:t>
            </w:r>
          </w:p>
        </w:tc>
      </w:tr>
      <w:tr w:rsidR="00590007" w:rsidRPr="002B746E" w14:paraId="604AF1CE" w14:textId="77777777" w:rsidTr="00043A1A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63378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6BE92203" w:rsidR="00590007" w:rsidRPr="00043A1A" w:rsidRDefault="00043A1A" w:rsidP="00AF170B">
            <w:pPr>
              <w:spacing w:before="60" w:after="60"/>
              <w:rPr>
                <w:rFonts w:cstheme="minorHAnsi"/>
                <w:bCs/>
              </w:rPr>
            </w:pPr>
            <w:r w:rsidRPr="00043A1A">
              <w:rPr>
                <w:rFonts w:cstheme="minorHAnsi"/>
                <w:bCs/>
              </w:rPr>
              <w:t>Rozšírenie spracovateľských kapacít PEKÁRSTVO ŽIKLA s.r.o. – technológie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69CAC6EC" w:rsidR="00590007" w:rsidRPr="00043A1A" w:rsidRDefault="00590007" w:rsidP="00AF170B">
            <w:pPr>
              <w:spacing w:before="60" w:after="60"/>
              <w:rPr>
                <w:rFonts w:cstheme="minorHAnsi"/>
                <w:bCs/>
              </w:rPr>
            </w:pPr>
            <w:r w:rsidRPr="00043A1A">
              <w:rPr>
                <w:rFonts w:cstheme="minorHAnsi"/>
                <w:bCs/>
              </w:rPr>
              <w:t> </w:t>
            </w:r>
            <w:r w:rsidR="00043A1A" w:rsidRPr="00043A1A">
              <w:rPr>
                <w:rFonts w:cstheme="minorHAnsi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2C55D207" w:rsidR="00590007" w:rsidRPr="00043A1A" w:rsidRDefault="00590007" w:rsidP="00AF170B">
            <w:pPr>
              <w:spacing w:before="60" w:after="60"/>
              <w:rPr>
                <w:rFonts w:cstheme="minorHAnsi"/>
                <w:bCs/>
              </w:rPr>
            </w:pPr>
            <w:r w:rsidRPr="00043A1A">
              <w:rPr>
                <w:rFonts w:cstheme="minorHAnsi"/>
                <w:bCs/>
              </w:rPr>
              <w:t> </w:t>
            </w:r>
            <w:r w:rsidR="00043A1A" w:rsidRPr="00043A1A">
              <w:rPr>
                <w:rFonts w:cstheme="minorHAnsi"/>
                <w:bCs/>
              </w:rPr>
              <w:t>92 306,67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DABA44E" w:rsidR="00590007" w:rsidRPr="00043A1A" w:rsidRDefault="00043A1A" w:rsidP="00043A1A">
            <w:pPr>
              <w:spacing w:before="60" w:after="60"/>
              <w:rPr>
                <w:rFonts w:cstheme="minorHAnsi"/>
                <w:bCs/>
              </w:rPr>
            </w:pPr>
            <w:r w:rsidRPr="00043A1A">
              <w:rPr>
                <w:rFonts w:cstheme="minorHAnsi"/>
                <w:bCs/>
              </w:rPr>
              <w:t xml:space="preserve">Predmetom zákazky je </w:t>
            </w:r>
            <w:proofErr w:type="spellStart"/>
            <w:r w:rsidRPr="00043A1A">
              <w:rPr>
                <w:rFonts w:cstheme="minorHAnsi"/>
                <w:bCs/>
              </w:rPr>
              <w:t>šokovací</w:t>
            </w:r>
            <w:proofErr w:type="spellEnd"/>
            <w:r w:rsidRPr="00043A1A">
              <w:rPr>
                <w:rFonts w:cstheme="minorHAnsi"/>
                <w:bCs/>
              </w:rPr>
              <w:t xml:space="preserve"> box, </w:t>
            </w:r>
            <w:proofErr w:type="spellStart"/>
            <w:r w:rsidRPr="00043A1A">
              <w:rPr>
                <w:rFonts w:cstheme="minorHAnsi"/>
                <w:bCs/>
              </w:rPr>
              <w:t>delička</w:t>
            </w:r>
            <w:proofErr w:type="spellEnd"/>
            <w:r w:rsidRPr="00043A1A">
              <w:rPr>
                <w:rFonts w:cstheme="minorHAnsi"/>
                <w:bCs/>
              </w:rPr>
              <w:t xml:space="preserve"> cesta, baliaci stroj a parná varná komora. Vymedzenie predmetu zákazky je uvedené v Prílohe č. 1 Rozpočet a technická špecifikácia – technológie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235"/>
        <w:gridCol w:w="1985"/>
        <w:gridCol w:w="1842"/>
      </w:tblGrid>
      <w:tr w:rsidR="00590007" w:rsidRPr="002B746E" w14:paraId="2BF03EF8" w14:textId="77777777" w:rsidTr="00043A1A">
        <w:trPr>
          <w:trHeight w:val="55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Lehota na predkladanie ponúk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05884DE6" w:rsidR="00590007" w:rsidRPr="00043A1A" w:rsidRDefault="00590007" w:rsidP="00AF170B">
            <w:pPr>
              <w:jc w:val="both"/>
              <w:rPr>
                <w:rFonts w:eastAsia="Times New Roman" w:cstheme="minorHAnsi"/>
                <w:b/>
                <w:bCs/>
                <w:color w:val="5B9BD5"/>
                <w:lang w:eastAsia="sk-SK"/>
              </w:rPr>
            </w:pPr>
            <w:r w:rsidRPr="00043A1A">
              <w:rPr>
                <w:rFonts w:eastAsia="Times New Roman" w:cstheme="minorHAnsi"/>
                <w:lang w:eastAsia="sk-SK"/>
              </w:rPr>
              <w:t> </w:t>
            </w:r>
            <w:r w:rsidR="00043A1A" w:rsidRPr="00043A1A">
              <w:rPr>
                <w:rFonts w:eastAsia="Times New Roman" w:cstheme="minorHAnsi"/>
                <w:b/>
                <w:bCs/>
                <w:lang w:eastAsia="sk-SK"/>
              </w:rPr>
              <w:t>Do 02.07.2026 10:00 hod</w:t>
            </w:r>
            <w:r w:rsidR="00043A1A" w:rsidRPr="00043A1A">
              <w:rPr>
                <w:rFonts w:eastAsia="Times New Roman" w:cstheme="minorHAnsi"/>
                <w:b/>
                <w:bCs/>
                <w:color w:val="5B9BD5"/>
                <w:lang w:eastAsia="sk-SK"/>
              </w:rPr>
              <w:t>.</w:t>
            </w:r>
          </w:p>
        </w:tc>
      </w:tr>
      <w:tr w:rsidR="00590007" w:rsidRPr="002B746E" w14:paraId="65BF4A6E" w14:textId="77777777" w:rsidTr="00043A1A">
        <w:trPr>
          <w:trHeight w:val="545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A670F38" w:rsidR="00590007" w:rsidRPr="0063378E" w:rsidRDefault="00590007" w:rsidP="00AF170B">
            <w:pPr>
              <w:jc w:val="both"/>
              <w:rPr>
                <w:rFonts w:cstheme="minorHAnsi"/>
                <w:b/>
                <w:vertAlign w:val="superscript"/>
              </w:rPr>
            </w:pPr>
            <w:r w:rsidRPr="0063378E">
              <w:rPr>
                <w:rFonts w:cstheme="minorHAnsi"/>
                <w:b/>
              </w:rPr>
              <w:t>Možnosť predĺženia lehoty na predkladanie ponúk</w:t>
            </w:r>
            <w:r w:rsidR="00746CDA" w:rsidRPr="0063378E">
              <w:rPr>
                <w:rStyle w:val="Odkaznapoznmkupodiarou"/>
                <w:rFonts w:cstheme="minorHAnsi"/>
                <w:b/>
              </w:rPr>
              <w:footnoteReference w:id="7"/>
            </w:r>
            <w:r w:rsidR="00B850FC" w:rsidRPr="0063378E">
              <w:rPr>
                <w:rFonts w:cstheme="minorHAnsi"/>
                <w:b/>
                <w:vertAlign w:val="superscript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043A1A" w:rsidRDefault="00590007" w:rsidP="00AF170B">
            <w:pPr>
              <w:jc w:val="center"/>
              <w:rPr>
                <w:rFonts w:cstheme="minorHAnsi"/>
                <w:b/>
                <w:strike/>
              </w:rPr>
            </w:pPr>
            <w:r w:rsidRPr="00043A1A">
              <w:rPr>
                <w:rFonts w:cstheme="minorHAnsi"/>
                <w:b/>
                <w:strike/>
              </w:rPr>
              <w:t>NIE</w:t>
            </w:r>
          </w:p>
        </w:tc>
      </w:tr>
      <w:tr w:rsidR="00590007" w:rsidRPr="002B746E" w14:paraId="0E0A67E7" w14:textId="77777777" w:rsidTr="00043A1A">
        <w:trPr>
          <w:trHeight w:val="563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Kritérium na vyhodnotenie ponúk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889094" w14:textId="31F24CE9" w:rsidR="00043A1A" w:rsidRPr="00043A1A" w:rsidRDefault="00043A1A" w:rsidP="00043A1A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043A1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Kritériom na vyhodnotenie ponúk je najnižšia cena.</w:t>
            </w:r>
          </w:p>
          <w:p w14:paraId="24528D7B" w14:textId="68E06A5A" w:rsidR="00590007" w:rsidRPr="00F2693B" w:rsidRDefault="002372CC" w:rsidP="00043A1A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>
              <w:t>Hodnotená bude celková cena bez DPH za celý predmet zákazky. V prípade uchádzača, ktorý nie je platiteľom DPH, sa hodnotí cena celkom.</w:t>
            </w:r>
          </w:p>
        </w:tc>
      </w:tr>
      <w:tr w:rsidR="00590007" w:rsidRPr="002B746E" w14:paraId="73114DDE" w14:textId="77777777" w:rsidTr="00043A1A">
        <w:trPr>
          <w:trHeight w:val="557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Miesto a spôsob doručenia ponúk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0DF81E7E" w:rsidR="00590007" w:rsidRPr="00F2693B" w:rsidRDefault="00043A1A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043A1A">
              <w:rPr>
                <w:rFonts w:eastAsia="Times New Roman" w:cstheme="minorHAnsi"/>
                <w:color w:val="000000"/>
                <w:lang w:eastAsia="sk-SK"/>
              </w:rPr>
              <w:t>Ponuky sa predkladajú výlučne elektronicky cez systém JOSEPHINE. Ponuka doručená inak alebo po lehote nebude zaradená do vyhodnotenia.</w:t>
            </w:r>
          </w:p>
        </w:tc>
      </w:tr>
      <w:tr w:rsidR="00590007" w:rsidRPr="002B746E" w14:paraId="38FEB974" w14:textId="77777777" w:rsidTr="00043A1A">
        <w:trPr>
          <w:trHeight w:val="549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Dátum vyhodnotenia ponúk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82C805" w14:textId="580096DB" w:rsidR="00590007" w:rsidRDefault="00043A1A" w:rsidP="00043A1A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043A1A">
              <w:rPr>
                <w:rFonts w:eastAsia="Times New Roman" w:cstheme="minorHAnsi"/>
                <w:color w:val="000000"/>
                <w:lang w:eastAsia="sk-SK"/>
              </w:rPr>
              <w:t>Obstarávateľ začne s vyhodnocovaním ponúk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043A1A">
              <w:rPr>
                <w:rFonts w:eastAsia="Times New Roman" w:cstheme="minorHAnsi"/>
                <w:color w:val="000000"/>
                <w:lang w:eastAsia="sk-SK"/>
              </w:rPr>
              <w:t>bezodkladne po tom, ako uplynie lehota na predkladanie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043A1A">
              <w:rPr>
                <w:rFonts w:eastAsia="Times New Roman" w:cstheme="minorHAnsi"/>
                <w:color w:val="000000"/>
                <w:lang w:eastAsia="sk-SK"/>
              </w:rPr>
              <w:t>ponúk.</w:t>
            </w:r>
          </w:p>
          <w:p w14:paraId="29A83DEE" w14:textId="77777777" w:rsidR="00043A1A" w:rsidRDefault="00043A1A" w:rsidP="00043A1A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6AAAE421" w14:textId="47B3CE5D" w:rsidR="00043A1A" w:rsidRPr="00F2693B" w:rsidRDefault="00043A1A" w:rsidP="00043A1A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043A1A">
              <w:rPr>
                <w:rFonts w:eastAsia="Times New Roman" w:cstheme="minorHAnsi"/>
                <w:color w:val="000000"/>
                <w:lang w:eastAsia="sk-SK"/>
              </w:rPr>
              <w:t>Predbežný dátum vyhodnotenia ponúk: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 02.07.2026</w:t>
            </w:r>
          </w:p>
        </w:tc>
      </w:tr>
      <w:tr w:rsidR="00590007" w:rsidRPr="002B746E" w14:paraId="4D2AFE59" w14:textId="77777777" w:rsidTr="000C001D">
        <w:trPr>
          <w:trHeight w:val="2542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6122265" w:rsidR="00590007" w:rsidRPr="00F2693B" w:rsidRDefault="00590007" w:rsidP="00AF170B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63378E">
              <w:rPr>
                <w:rFonts w:cstheme="minorHAnsi"/>
                <w:b/>
              </w:rPr>
              <w:lastRenderedPageBreak/>
              <w:t xml:space="preserve">Dodávateľ je povinný dokladovať podmienku </w:t>
            </w:r>
            <w:r w:rsidR="0058475E" w:rsidRPr="0063378E">
              <w:rPr>
                <w:rFonts w:cstheme="minorHAnsi"/>
                <w:b/>
              </w:rPr>
              <w:t xml:space="preserve">osobného </w:t>
            </w:r>
            <w:r w:rsidRPr="0063378E">
              <w:rPr>
                <w:rFonts w:cstheme="minorHAnsi"/>
                <w:b/>
              </w:rPr>
              <w:t xml:space="preserve"> postavenia</w:t>
            </w:r>
            <w:r w:rsidR="00746CDA" w:rsidRPr="0063378E">
              <w:rPr>
                <w:rStyle w:val="Odkaznapoznmkupodiarou"/>
                <w:rFonts w:cstheme="minorHAnsi"/>
                <w:b/>
              </w:rPr>
              <w:footnoteReference w:id="8"/>
            </w:r>
            <w:r w:rsidR="00B850FC" w:rsidRPr="0063378E">
              <w:rPr>
                <w:rFonts w:cstheme="minorHAnsi"/>
                <w:b/>
                <w:vertAlign w:val="superscript"/>
              </w:rPr>
              <w:t>)</w:t>
            </w:r>
            <w:r w:rsidRPr="00F2693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63378E" w:rsidRDefault="00590007" w:rsidP="00AF170B">
            <w:pPr>
              <w:jc w:val="both"/>
              <w:rPr>
                <w:rFonts w:cstheme="minorHAnsi"/>
              </w:rPr>
            </w:pPr>
            <w:r w:rsidRPr="0063378E">
              <w:rPr>
                <w:rFonts w:cstheme="minorHAnsi"/>
              </w:rPr>
              <w:t>- je oprávnený dodávať tovar, uskutočňovať stavebné práce alebo poskytovať službu v rozsahu, ktorý zodpovedá predmetu  zákazky</w:t>
            </w:r>
          </w:p>
          <w:p w14:paraId="73B32016" w14:textId="00BE31AB" w:rsidR="00590007" w:rsidRPr="0063378E" w:rsidRDefault="00590007" w:rsidP="00AF170B">
            <w:pPr>
              <w:jc w:val="both"/>
              <w:rPr>
                <w:rFonts w:cstheme="minorHAnsi"/>
              </w:rPr>
            </w:pPr>
            <w:r w:rsidRPr="0063378E">
              <w:rPr>
                <w:rFonts w:cstheme="minorHAnsi"/>
              </w:rPr>
              <w:t>- nemá uložený zákaz účasti vo verejnom obstarávaní potvrdený konečným rozhodnutím v Slovenskej republike a v štáte sídla, miesta podnikania alebo obvyklého pobytu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9E2CEF9" w14:textId="259E291B" w:rsidR="00590007" w:rsidRPr="00F2693B" w:rsidRDefault="00043A1A" w:rsidP="00043A1A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043A1A">
              <w:rPr>
                <w:rFonts w:eastAsia="Times New Roman" w:cstheme="minorHAnsi"/>
                <w:color w:val="000000"/>
                <w:lang w:eastAsia="sk-SK"/>
              </w:rPr>
              <w:t>Splnenie podmienky sa nepreukazuje, ak si obstarávateľ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043A1A">
              <w:rPr>
                <w:rFonts w:eastAsia="Times New Roman" w:cstheme="minorHAnsi"/>
                <w:color w:val="000000"/>
                <w:lang w:eastAsia="sk-SK"/>
              </w:rPr>
              <w:t>skutočnosť môže overiť vo verejne dostupných registroch.</w:t>
            </w:r>
          </w:p>
        </w:tc>
      </w:tr>
      <w:tr w:rsidR="00590007" w:rsidRPr="002B746E" w14:paraId="692377CF" w14:textId="77777777" w:rsidTr="000C001D">
        <w:trPr>
          <w:trHeight w:val="1543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0E3F14BB" w:rsidR="00590007" w:rsidRPr="00F2693B" w:rsidRDefault="00590007" w:rsidP="00F2693B">
            <w:pPr>
              <w:jc w:val="both"/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</w:pPr>
            <w:r w:rsidRPr="00F2693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F2693B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9"/>
            </w:r>
            <w:r w:rsidR="00B850FC" w:rsidRPr="00F2693B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5D2364" w14:textId="2A1664DF" w:rsidR="00590007" w:rsidRPr="00F2693B" w:rsidRDefault="00590007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F2693B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="000C001D">
              <w:rPr>
                <w:rFonts w:eastAsia="Times New Roman" w:cstheme="minorHAnsi"/>
                <w:color w:val="000000"/>
                <w:lang w:eastAsia="sk-SK"/>
              </w:rPr>
              <w:t>Nerelevantné</w:t>
            </w:r>
          </w:p>
        </w:tc>
      </w:tr>
      <w:tr w:rsidR="00590007" w:rsidRPr="002B746E" w14:paraId="5CA44BA6" w14:textId="77777777" w:rsidTr="000C001D">
        <w:trPr>
          <w:trHeight w:val="690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31C9ED26" w:rsidR="00590007" w:rsidRPr="00F2693B" w:rsidRDefault="00590007" w:rsidP="00AF170B">
            <w:pPr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</w:pPr>
            <w:r w:rsidRPr="00F2693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Iné</w:t>
            </w:r>
            <w:r w:rsidRPr="00F2693B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10"/>
            </w:r>
            <w:r w:rsidR="00B850FC" w:rsidRPr="00F2693B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7E9903F" w14:textId="287116EE" w:rsidR="000C001D" w:rsidRDefault="000C001D" w:rsidP="000C001D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0C001D">
              <w:rPr>
                <w:rFonts w:eastAsia="Times New Roman" w:cstheme="minorHAnsi"/>
                <w:color w:val="000000"/>
                <w:lang w:eastAsia="sk-SK"/>
              </w:rPr>
              <w:t>Použitie elektronickej aukcie:</w:t>
            </w:r>
            <w:r w:rsidR="00983672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0C001D">
              <w:rPr>
                <w:rFonts w:eastAsia="Times New Roman" w:cstheme="minorHAnsi"/>
                <w:color w:val="000000"/>
                <w:lang w:eastAsia="sk-SK"/>
              </w:rPr>
              <w:t>Nie</w:t>
            </w:r>
          </w:p>
          <w:p w14:paraId="07A83FCD" w14:textId="54B2342A" w:rsidR="00590007" w:rsidRPr="00F2693B" w:rsidRDefault="000C001D" w:rsidP="00983672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0C001D">
              <w:rPr>
                <w:rFonts w:eastAsia="Times New Roman" w:cstheme="minorHAnsi"/>
                <w:color w:val="000000"/>
                <w:lang w:eastAsia="sk-SK"/>
              </w:rPr>
              <w:t>Zábezpeka:</w:t>
            </w:r>
            <w:r w:rsidR="00983672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0C001D">
              <w:rPr>
                <w:rFonts w:eastAsia="Times New Roman" w:cstheme="minorHAnsi"/>
                <w:color w:val="000000"/>
                <w:lang w:eastAsia="sk-SK"/>
              </w:rPr>
              <w:t>Nevyžaduje sa.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635F1E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19A3092B" w14:textId="5220B98E" w:rsidR="00590007" w:rsidRPr="003B18A4" w:rsidRDefault="00590007" w:rsidP="00F2693B">
      <w:pPr>
        <w:pStyle w:val="Zkladntext2"/>
        <w:numPr>
          <w:ilvl w:val="0"/>
          <w:numId w:val="3"/>
        </w:numPr>
        <w:tabs>
          <w:tab w:val="left" w:pos="426"/>
        </w:tabs>
        <w:spacing w:after="240"/>
        <w:ind w:left="426"/>
        <w:rPr>
          <w:rFonts w:asciiTheme="minorHAnsi" w:hAnsiTheme="minorHAnsi" w:cstheme="minorHAnsi"/>
          <w:sz w:val="22"/>
          <w:szCs w:val="22"/>
          <w:u w:val="single"/>
        </w:rPr>
      </w:pPr>
      <w:r w:rsidRPr="003B18A4">
        <w:rPr>
          <w:rFonts w:asciiTheme="minorHAnsi" w:hAnsiTheme="minorHAnsi" w:cstheme="minorHAnsi"/>
          <w:sz w:val="22"/>
          <w:szCs w:val="22"/>
          <w:u w:val="single"/>
        </w:rPr>
        <w:t>Dodatočné informácie</w:t>
      </w:r>
      <w:r w:rsidR="00C55E13" w:rsidRPr="003B18A4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1638E5">
        <w:trPr>
          <w:trHeight w:val="485"/>
        </w:trPr>
        <w:tc>
          <w:tcPr>
            <w:tcW w:w="9062" w:type="dxa"/>
            <w:vAlign w:val="center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1638E5">
        <w:trPr>
          <w:trHeight w:val="2121"/>
        </w:trPr>
        <w:tc>
          <w:tcPr>
            <w:tcW w:w="9062" w:type="dxa"/>
            <w:vAlign w:val="center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1638E5">
        <w:trPr>
          <w:trHeight w:val="1272"/>
        </w:trPr>
        <w:tc>
          <w:tcPr>
            <w:tcW w:w="9062" w:type="dxa"/>
            <w:vAlign w:val="center"/>
          </w:tcPr>
          <w:p w14:paraId="3BF78F07" w14:textId="394D6373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údaje o všetkých známych subdodávateľoch; údaje o osobe oprávnenej konať </w:t>
            </w:r>
            <w:r w:rsidR="002B746E" w:rsidRPr="00590007">
              <w:t>za</w:t>
            </w:r>
            <w:r w:rsidR="002B746E">
              <w:t> </w:t>
            </w:r>
            <w:r w:rsidRPr="00590007">
              <w:t>subdodávateľa v rozsahu meno a priezvisko, adresa trvalého pobytu, dátum narodenia, ak ide o</w:t>
            </w:r>
            <w:r w:rsidR="002B746E">
              <w:t> </w:t>
            </w:r>
            <w:r w:rsidRPr="00590007">
              <w:t>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43CE576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p w14:paraId="5DFCB275" w14:textId="77777777" w:rsidR="002372CC" w:rsidRPr="00590007" w:rsidRDefault="002372CC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0DEC527B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0C001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Uhrovci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25F62348" w14:textId="286A745F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0C001D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98367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22</w:t>
            </w:r>
            <w:r w:rsidR="000C001D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.6.2026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40C392DA" w:rsidR="00590007" w:rsidRPr="00F2693B" w:rsidRDefault="00590007" w:rsidP="00A4765D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F2693B">
              <w:rPr>
                <w:sz w:val="18"/>
                <w:szCs w:val="18"/>
              </w:rPr>
              <w:t>podpis a pečiatka štatutárneho zástupcu</w:t>
            </w:r>
          </w:p>
        </w:tc>
      </w:tr>
    </w:tbl>
    <w:p w14:paraId="679E5173" w14:textId="312F9F35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0C001D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F2693B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2693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Prílohy</w:t>
            </w:r>
            <w:r w:rsidRPr="00F269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0BE4EEF3" w:rsidR="00590007" w:rsidRPr="00590007" w:rsidRDefault="000C001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C001D">
              <w:rPr>
                <w:rFonts w:ascii="Calibri" w:eastAsia="Times New Roman" w:hAnsi="Calibri" w:cs="Times New Roman"/>
                <w:color w:val="000000"/>
                <w:lang w:eastAsia="sk-SK"/>
              </w:rPr>
              <w:t>Príloh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 w:rsidRPr="000C001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č. 1 Rozpočet a technická špecifikácia – technológie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F25E" w14:textId="77777777" w:rsidR="007366B5" w:rsidRDefault="007366B5" w:rsidP="00590007">
      <w:pPr>
        <w:spacing w:after="0" w:line="240" w:lineRule="auto"/>
      </w:pPr>
      <w:r>
        <w:separator/>
      </w:r>
    </w:p>
  </w:endnote>
  <w:endnote w:type="continuationSeparator" w:id="0">
    <w:p w14:paraId="3C68803C" w14:textId="77777777" w:rsidR="007366B5" w:rsidRDefault="007366B5" w:rsidP="00590007">
      <w:pPr>
        <w:spacing w:after="0" w:line="240" w:lineRule="auto"/>
      </w:pPr>
      <w:r>
        <w:continuationSeparator/>
      </w:r>
    </w:p>
  </w:endnote>
  <w:endnote w:type="continuationNotice" w:id="1">
    <w:p w14:paraId="44EF755C" w14:textId="77777777" w:rsidR="007366B5" w:rsidRDefault="007366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606344"/>
      <w:docPartObj>
        <w:docPartGallery w:val="Page Numbers (Bottom of Page)"/>
        <w:docPartUnique/>
      </w:docPartObj>
    </w:sdtPr>
    <w:sdtEndPr/>
    <w:sdtContent>
      <w:p w14:paraId="0B9CA322" w14:textId="12112A42" w:rsidR="00A4765D" w:rsidRDefault="00A4765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98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92730" w14:textId="77777777" w:rsidR="007366B5" w:rsidRDefault="007366B5" w:rsidP="00590007">
      <w:pPr>
        <w:spacing w:after="0" w:line="240" w:lineRule="auto"/>
      </w:pPr>
      <w:r>
        <w:separator/>
      </w:r>
    </w:p>
  </w:footnote>
  <w:footnote w:type="continuationSeparator" w:id="0">
    <w:p w14:paraId="638E0F88" w14:textId="77777777" w:rsidR="007366B5" w:rsidRDefault="007366B5" w:rsidP="00590007">
      <w:pPr>
        <w:spacing w:after="0" w:line="240" w:lineRule="auto"/>
      </w:pPr>
      <w:r>
        <w:continuationSeparator/>
      </w:r>
    </w:p>
  </w:footnote>
  <w:footnote w:type="continuationNotice" w:id="1">
    <w:p w14:paraId="23B7FF58" w14:textId="77777777" w:rsidR="007366B5" w:rsidRDefault="007366B5">
      <w:pPr>
        <w:spacing w:after="0" w:line="240" w:lineRule="auto"/>
      </w:pPr>
    </w:p>
  </w:footnote>
  <w:footnote w:id="2">
    <w:p w14:paraId="73D8B55F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V zmysle Metodického usmernenia pojem „obstarávateľ“ označuje žiadateľa, resp. prijímateľa príspevku podľa zákona o príspevkoch, ktorý je povinný pri obstarávaní tovarov, služieb a stavebných prác povinný postupovať podľa Metodického usmernenia</w:t>
      </w:r>
    </w:p>
  </w:footnote>
  <w:footnote w:id="3">
    <w:p w14:paraId="5BB2E1D7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Ak relevantné, o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bstarávateľ vloží len </w:t>
      </w:r>
      <w:proofErr w:type="spellStart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sken</w:t>
      </w:r>
      <w:proofErr w:type="spellEnd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 plnomocenstva a originál uchová u seba pre potreby k nahliadnutiu/resp. k predloženiu na základe požiadavky Platobnej agentúry.</w:t>
      </w:r>
    </w:p>
  </w:footnote>
  <w:footnote w:id="4">
    <w:p w14:paraId="788ED755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Podľa Výzvy na predkladanie žiadosti o príspevok.</w:t>
      </w:r>
    </w:p>
  </w:footnote>
  <w:footnote w:id="5">
    <w:p w14:paraId="1AE7DD1B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Len v prípade predloženia po schválení žiadosti o príspevok.</w:t>
      </w:r>
    </w:p>
  </w:footnote>
  <w:footnote w:id="6">
    <w:p w14:paraId="7FE1DAEA" w14:textId="5706DC95" w:rsidR="00746CDA" w:rsidRPr="00782D1A" w:rsidRDefault="00746CDA" w:rsidP="00746CDA">
      <w:pPr>
        <w:pStyle w:val="Textpoznmkypodiarou"/>
        <w:ind w:left="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proofErr w:type="spellStart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Nehodiace</w:t>
      </w:r>
      <w:proofErr w:type="spellEnd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 sa preškrtnite</w:t>
      </w:r>
      <w:r w:rsidR="007E23C1"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.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 </w:t>
      </w:r>
    </w:p>
  </w:footnote>
  <w:footnote w:id="7">
    <w:p w14:paraId="6BE4A657" w14:textId="746D4485" w:rsidR="00746CDA" w:rsidRPr="00782D1A" w:rsidRDefault="00746CDA" w:rsidP="00746CDA">
      <w:pPr>
        <w:pStyle w:val="Textpoznmkypodiarou"/>
        <w:ind w:left="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proofErr w:type="spellStart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Nehodiace</w:t>
      </w:r>
      <w:proofErr w:type="spellEnd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 sa preškrtnite - áno ostáva, ak ide o výzvu s predĺženou lehotou.</w:t>
      </w:r>
    </w:p>
  </w:footnote>
  <w:footnote w:id="8">
    <w:p w14:paraId="7F716312" w14:textId="09C4F2EF" w:rsidR="00746CDA" w:rsidRPr="00782D1A" w:rsidRDefault="00746CDA" w:rsidP="00746CDA">
      <w:pPr>
        <w:pStyle w:val="Textpoznmkypodiarou"/>
        <w:ind w:left="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Definuje sa spôsob predloženia – typ dokumentu, ktorý má potencionálny dodávateľ predložiť.</w:t>
      </w:r>
    </w:p>
  </w:footnote>
  <w:footnote w:id="9">
    <w:p w14:paraId="1352BD7B" w14:textId="0BAA135C" w:rsidR="00590007" w:rsidRPr="00782D1A" w:rsidRDefault="00590007" w:rsidP="00746CDA">
      <w:pPr>
        <w:pStyle w:val="Textpoznmkypodiarou"/>
        <w:ind w:left="0"/>
        <w:jc w:val="both"/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Doplniť a špecifikovať, čo má potencionálny dodávateľ preukázať a akou formou, ak je relevantné.</w:t>
      </w:r>
    </w:p>
  </w:footnote>
  <w:footnote w:id="10">
    <w:p w14:paraId="683BD56C" w14:textId="69389BB7" w:rsidR="00590007" w:rsidRPr="00782D1A" w:rsidRDefault="00590007" w:rsidP="00746CDA">
      <w:pPr>
        <w:pStyle w:val="Textpoznmkypodiarou"/>
        <w:ind w:left="0"/>
        <w:jc w:val="both"/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Doplniť, ak je relevantné.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9793" w14:textId="1EF98041" w:rsidR="00A1498B" w:rsidRDefault="00A1498B" w:rsidP="00A1498B">
    <w:pPr>
      <w:pStyle w:val="Hlavika"/>
      <w:rPr>
        <w:color w:val="002060"/>
      </w:rPr>
    </w:pPr>
    <w:r>
      <w:rPr>
        <w:color w:val="002060"/>
      </w:rPr>
      <w:t xml:space="preserve">   </w:t>
    </w:r>
    <w:r>
      <w:rPr>
        <w:rFonts w:ascii="Calibri Light" w:hAnsi="Calibri Light" w:cs="Calibri Light"/>
        <w:noProof/>
        <w:color w:val="002060"/>
        <w:sz w:val="20"/>
        <w:szCs w:val="20"/>
        <w:lang w:eastAsia="sk-SK"/>
      </w:rPr>
      <w:drawing>
        <wp:inline distT="0" distB="0" distL="0" distR="0" wp14:anchorId="60E0A5DD" wp14:editId="358A8ABF">
          <wp:extent cx="1076325" cy="400050"/>
          <wp:effectExtent l="0" t="0" r="9525" b="0"/>
          <wp:docPr id="6" name="Obrázok 6" descr="cid:image003.jpg@01DA55D3.12389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jpg@01DA55D3.123897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2060"/>
      </w:rPr>
      <w:t xml:space="preserve">                                                </w:t>
    </w:r>
    <w:r>
      <w:rPr>
        <w:color w:val="002060"/>
      </w:rPr>
      <w:tab/>
    </w:r>
    <w:r>
      <w:rPr>
        <w:noProof/>
        <w:color w:val="002060"/>
        <w:lang w:eastAsia="sk-SK"/>
      </w:rPr>
      <w:drawing>
        <wp:inline distT="0" distB="0" distL="0" distR="0" wp14:anchorId="2547EA1A" wp14:editId="6CBA932A">
          <wp:extent cx="495300" cy="333375"/>
          <wp:effectExtent l="0" t="0" r="0" b="9525"/>
          <wp:docPr id="2" name="Obrázok 2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ú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2060"/>
      </w:rPr>
      <w:t xml:space="preserve">              </w:t>
    </w:r>
    <w:r>
      <w:rPr>
        <w:color w:val="002060"/>
      </w:rPr>
      <w:tab/>
      <w:t xml:space="preserve"> </w:t>
    </w:r>
    <w:r>
      <w:rPr>
        <w:noProof/>
        <w:color w:val="002060"/>
        <w:lang w:eastAsia="sk-SK"/>
      </w:rPr>
      <w:drawing>
        <wp:inline distT="0" distB="0" distL="0" distR="0" wp14:anchorId="52ECA09D" wp14:editId="35D4CCAA">
          <wp:extent cx="904875" cy="323850"/>
          <wp:effectExtent l="0" t="0" r="9525" b="0"/>
          <wp:docPr id="1" name="Obrázok 1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2060"/>
      </w:rPr>
      <w:t xml:space="preserve">                          </w:t>
    </w:r>
  </w:p>
  <w:p w14:paraId="0EF5DBDD" w14:textId="77777777" w:rsidR="00A1498B" w:rsidRDefault="00A1498B" w:rsidP="00A1498B">
    <w:pPr>
      <w:pStyle w:val="Hlavika"/>
      <w:tabs>
        <w:tab w:val="clear" w:pos="4536"/>
        <w:tab w:val="center" w:pos="4253"/>
      </w:tabs>
      <w:rPr>
        <w:sz w:val="10"/>
      </w:rPr>
    </w:pPr>
    <w:r>
      <w:rPr>
        <w:sz w:val="10"/>
      </w:rPr>
      <w:tab/>
      <w:t xml:space="preserve">                              Európsky poľnohospodársky fond </w:t>
    </w:r>
  </w:p>
  <w:p w14:paraId="1C6BED09" w14:textId="3865D4B5" w:rsidR="00590007" w:rsidRPr="00A1498B" w:rsidRDefault="00A1498B" w:rsidP="00A1498B">
    <w:pPr>
      <w:pStyle w:val="Hlavika"/>
      <w:tabs>
        <w:tab w:val="clear" w:pos="4536"/>
        <w:tab w:val="center" w:pos="4111"/>
      </w:tabs>
      <w:rPr>
        <w:sz w:val="10"/>
      </w:rPr>
    </w:pPr>
    <w:r>
      <w:rPr>
        <w:sz w:val="10"/>
      </w:rPr>
      <w:tab/>
      <w:t xml:space="preserve">                                             pre rozvoj vidieka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A30AB"/>
    <w:multiLevelType w:val="hybridMultilevel"/>
    <w:tmpl w:val="E9D2ABE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07"/>
    <w:rsid w:val="0002756F"/>
    <w:rsid w:val="00041BF7"/>
    <w:rsid w:val="00043A1A"/>
    <w:rsid w:val="000C001D"/>
    <w:rsid w:val="000F1141"/>
    <w:rsid w:val="001612DA"/>
    <w:rsid w:val="001638E5"/>
    <w:rsid w:val="001F687D"/>
    <w:rsid w:val="00230C5A"/>
    <w:rsid w:val="002372CC"/>
    <w:rsid w:val="002B746E"/>
    <w:rsid w:val="002C5A11"/>
    <w:rsid w:val="00303625"/>
    <w:rsid w:val="0032186C"/>
    <w:rsid w:val="003B18A4"/>
    <w:rsid w:val="003F6A75"/>
    <w:rsid w:val="0049240A"/>
    <w:rsid w:val="00500041"/>
    <w:rsid w:val="00502DE1"/>
    <w:rsid w:val="00540A5B"/>
    <w:rsid w:val="00554075"/>
    <w:rsid w:val="0058475E"/>
    <w:rsid w:val="00590007"/>
    <w:rsid w:val="005954FA"/>
    <w:rsid w:val="005B49E6"/>
    <w:rsid w:val="005D7BA6"/>
    <w:rsid w:val="0063378E"/>
    <w:rsid w:val="00635F1E"/>
    <w:rsid w:val="006570A7"/>
    <w:rsid w:val="006A22A6"/>
    <w:rsid w:val="007366B5"/>
    <w:rsid w:val="00746CDA"/>
    <w:rsid w:val="00782D1A"/>
    <w:rsid w:val="007A396C"/>
    <w:rsid w:val="007E23C1"/>
    <w:rsid w:val="007F736C"/>
    <w:rsid w:val="008239E4"/>
    <w:rsid w:val="00877D4C"/>
    <w:rsid w:val="008E7A4D"/>
    <w:rsid w:val="008F151B"/>
    <w:rsid w:val="00930238"/>
    <w:rsid w:val="00983672"/>
    <w:rsid w:val="009E238D"/>
    <w:rsid w:val="00A1498B"/>
    <w:rsid w:val="00A4765D"/>
    <w:rsid w:val="00A525A5"/>
    <w:rsid w:val="00A64373"/>
    <w:rsid w:val="00B06ABA"/>
    <w:rsid w:val="00B25CD2"/>
    <w:rsid w:val="00B850FC"/>
    <w:rsid w:val="00C15D1A"/>
    <w:rsid w:val="00C5256C"/>
    <w:rsid w:val="00C55E13"/>
    <w:rsid w:val="00C5650B"/>
    <w:rsid w:val="00C74176"/>
    <w:rsid w:val="00C93783"/>
    <w:rsid w:val="00CD191C"/>
    <w:rsid w:val="00CE6144"/>
    <w:rsid w:val="00DF2EE5"/>
    <w:rsid w:val="00E576D5"/>
    <w:rsid w:val="00E66001"/>
    <w:rsid w:val="00F2693B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570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570A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570A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0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70A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7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70A7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33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cid:image003.jpg@01DA55D3.1238975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8DF2-F98A-4683-B6AB-BE863BC3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MAS BEBRAVA</cp:lastModifiedBy>
  <cp:revision>6</cp:revision>
  <dcterms:created xsi:type="dcterms:W3CDTF">2025-05-04T16:23:00Z</dcterms:created>
  <dcterms:modified xsi:type="dcterms:W3CDTF">2026-06-22T07:57:00Z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