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437E" w:rsidRPr="00570BE3" w:rsidRDefault="00DB437E" w:rsidP="00DB437E">
      <w:pPr>
        <w:rPr>
          <w:b/>
          <w:sz w:val="28"/>
          <w:szCs w:val="28"/>
        </w:rPr>
      </w:pPr>
      <w:r w:rsidRPr="000957C4">
        <w:rPr>
          <w:b/>
          <w:sz w:val="28"/>
          <w:szCs w:val="28"/>
        </w:rPr>
        <w:t xml:space="preserve">PRÍLOHA Č. </w:t>
      </w:r>
      <w:r>
        <w:rPr>
          <w:b/>
          <w:sz w:val="28"/>
          <w:szCs w:val="28"/>
        </w:rPr>
        <w:t>2</w:t>
      </w:r>
      <w:r w:rsidRPr="000957C4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0957C4">
        <w:rPr>
          <w:b/>
          <w:sz w:val="28"/>
          <w:szCs w:val="28"/>
        </w:rPr>
        <w:t>NÁVRH UCHÁDZAČA NA PLNENIE JEDNOTLIVÝCH KRITÉRIÍ</w:t>
      </w:r>
    </w:p>
    <w:p w:rsidR="00DB437E" w:rsidRPr="006F1966" w:rsidRDefault="00DB437E" w:rsidP="00DB437E">
      <w:pPr>
        <w:pStyle w:val="Default"/>
        <w:jc w:val="center"/>
        <w:rPr>
          <w:rFonts w:ascii="Arial Narrow" w:hAnsi="Arial Narrow" w:cs="Times New Roman"/>
          <w:b/>
        </w:rPr>
      </w:pPr>
      <w:r w:rsidRPr="006F1966">
        <w:rPr>
          <w:rFonts w:ascii="Arial Narrow" w:hAnsi="Arial Narrow" w:cs="Times New Roman"/>
          <w:b/>
        </w:rPr>
        <w:t xml:space="preserve">Koeficienty v jednotlivých tarifách </w:t>
      </w:r>
    </w:p>
    <w:p w:rsidR="00DB437E" w:rsidRPr="006F1966" w:rsidRDefault="00DB437E" w:rsidP="00DB437E">
      <w:pPr>
        <w:pStyle w:val="Default"/>
        <w:jc w:val="center"/>
        <w:rPr>
          <w:rFonts w:ascii="Arial Narrow" w:hAnsi="Arial Narrow" w:cs="Times New Roman"/>
        </w:rPr>
      </w:pPr>
      <w:r w:rsidRPr="006F1966">
        <w:rPr>
          <w:rFonts w:ascii="Arial Narrow" w:hAnsi="Arial Narrow" w:cs="Times New Roman"/>
        </w:rPr>
        <w:t>(Koeficienty uvádzajte zaokrúhlené na dve desatinné miesta)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1914"/>
        <w:gridCol w:w="1680"/>
        <w:gridCol w:w="1777"/>
        <w:gridCol w:w="1836"/>
        <w:gridCol w:w="1836"/>
        <w:gridCol w:w="1836"/>
        <w:gridCol w:w="1836"/>
      </w:tblGrid>
      <w:tr w:rsidR="00DB437E" w:rsidRPr="009229A9" w:rsidTr="001A268C">
        <w:trPr>
          <w:trHeight w:val="222"/>
          <w:jc w:val="center"/>
        </w:trPr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37E" w:rsidRPr="006F1966" w:rsidRDefault="00DB437E" w:rsidP="001A268C">
            <w:pPr>
              <w:pStyle w:val="Default"/>
              <w:ind w:left="11"/>
              <w:rPr>
                <w:rFonts w:ascii="Arial Narrow" w:hAnsi="Arial Narrow" w:cs="Times New Roman"/>
              </w:rPr>
            </w:pP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JT NN (</w:t>
            </w:r>
            <w:proofErr w:type="spellStart"/>
            <w:r w:rsidRPr="009229A9">
              <w:rPr>
                <w:b/>
                <w:sz w:val="24"/>
                <w:szCs w:val="24"/>
              </w:rPr>
              <w:t>jednotarifa</w:t>
            </w:r>
            <w:proofErr w:type="spellEnd"/>
            <w:r w:rsidRPr="009229A9">
              <w:rPr>
                <w:b/>
                <w:sz w:val="24"/>
                <w:szCs w:val="24"/>
              </w:rPr>
              <w:t>) – nízke napätie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JT VN (</w:t>
            </w:r>
            <w:proofErr w:type="spellStart"/>
            <w:r w:rsidRPr="009229A9">
              <w:rPr>
                <w:b/>
                <w:sz w:val="24"/>
                <w:szCs w:val="24"/>
              </w:rPr>
              <w:t>jednotarifa</w:t>
            </w:r>
            <w:proofErr w:type="spellEnd"/>
            <w:r w:rsidRPr="009229A9">
              <w:rPr>
                <w:b/>
                <w:sz w:val="24"/>
                <w:szCs w:val="24"/>
              </w:rPr>
              <w:t>) – vysoké napätie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VT NN (vysoká tarifa – nízke napätie)</w:t>
            </w:r>
          </w:p>
        </w:tc>
        <w:tc>
          <w:tcPr>
            <w:tcW w:w="65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VT VN (vysoká tarifa – vysoké napätie)</w:t>
            </w:r>
          </w:p>
        </w:tc>
        <w:tc>
          <w:tcPr>
            <w:tcW w:w="6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NT NN (nízka tarifa – nízke napätie)</w:t>
            </w:r>
          </w:p>
        </w:tc>
        <w:tc>
          <w:tcPr>
            <w:tcW w:w="65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VT VN (vysoká tarifa – vysoké napätie</w:t>
            </w:r>
          </w:p>
        </w:tc>
        <w:tc>
          <w:tcPr>
            <w:tcW w:w="6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VO (verejné osvetlenie)</w:t>
            </w:r>
          </w:p>
        </w:tc>
      </w:tr>
      <w:tr w:rsidR="00DB437E" w:rsidRPr="009229A9" w:rsidTr="001A268C">
        <w:trPr>
          <w:trHeight w:val="222"/>
          <w:jc w:val="center"/>
        </w:trPr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Navrhnite koeficienty (pre roky 2021, 2022):</w:t>
            </w:r>
          </w:p>
        </w:tc>
        <w:tc>
          <w:tcPr>
            <w:tcW w:w="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KJT NN = 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KJT VN = 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KVT NN = </w:t>
            </w:r>
          </w:p>
        </w:tc>
        <w:tc>
          <w:tcPr>
            <w:tcW w:w="6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KVT VN =</w:t>
            </w:r>
          </w:p>
        </w:tc>
        <w:tc>
          <w:tcPr>
            <w:tcW w:w="6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KNT NN =</w:t>
            </w:r>
          </w:p>
        </w:tc>
        <w:tc>
          <w:tcPr>
            <w:tcW w:w="6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KNT VN =</w:t>
            </w:r>
          </w:p>
        </w:tc>
        <w:tc>
          <w:tcPr>
            <w:tcW w:w="6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KVO = </w:t>
            </w:r>
          </w:p>
        </w:tc>
      </w:tr>
      <w:tr w:rsidR="00DB437E" w:rsidRPr="009229A9" w:rsidTr="001A268C">
        <w:trPr>
          <w:trHeight w:val="222"/>
          <w:jc w:val="center"/>
        </w:trPr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rPr>
                <w:sz w:val="24"/>
                <w:szCs w:val="24"/>
              </w:rPr>
            </w:pPr>
            <w:r w:rsidRPr="009229A9">
              <w:rPr>
                <w:sz w:val="24"/>
                <w:szCs w:val="24"/>
              </w:rPr>
              <w:t xml:space="preserve">Všeobecný vzorec </w:t>
            </w:r>
          </w:p>
        </w:tc>
        <w:tc>
          <w:tcPr>
            <w:tcW w:w="455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37E" w:rsidRPr="005E3D90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55" w:hanging="341"/>
              <w:jc w:val="center"/>
              <w:rPr>
                <w:sz w:val="24"/>
                <w:szCs w:val="24"/>
              </w:rPr>
            </w:pPr>
            <w:r w:rsidRPr="005E3D90">
              <w:rPr>
                <w:sz w:val="24"/>
                <w:szCs w:val="24"/>
              </w:rPr>
              <w:t>C= (VBC * SJT NN * KJT NN) + (VBC * SJT VN * KJT VN) + (VBC * SVT NN * KVT NN) + (VBC * SVT VN * KVT VN) + (VBC * SNT NN * KNT NN) + (VBC * SNT VN * KNT VN) + (VBC * SVO * KVO)</w:t>
            </w:r>
          </w:p>
          <w:p w:rsidR="00DB437E" w:rsidRPr="005E3D90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55" w:hanging="341"/>
              <w:jc w:val="center"/>
              <w:rPr>
                <w:sz w:val="24"/>
                <w:szCs w:val="24"/>
              </w:rPr>
            </w:pPr>
            <w:r w:rsidRPr="005E3D90">
              <w:rPr>
                <w:sz w:val="24"/>
                <w:szCs w:val="24"/>
              </w:rPr>
              <w:t>CC = (47 * 4</w:t>
            </w:r>
            <w:r>
              <w:rPr>
                <w:sz w:val="24"/>
                <w:szCs w:val="24"/>
              </w:rPr>
              <w:t> 877,094</w:t>
            </w:r>
            <w:r w:rsidRPr="005E3D90">
              <w:rPr>
                <w:sz w:val="24"/>
                <w:szCs w:val="24"/>
              </w:rPr>
              <w:t xml:space="preserve"> * KJT NN) + (47 * </w:t>
            </w:r>
            <w:r>
              <w:rPr>
                <w:sz w:val="24"/>
                <w:szCs w:val="24"/>
              </w:rPr>
              <w:t>1 072,000</w:t>
            </w:r>
            <w:r w:rsidRPr="005E3D90">
              <w:rPr>
                <w:sz w:val="24"/>
                <w:szCs w:val="24"/>
              </w:rPr>
              <w:t xml:space="preserve"> * KJT VN) + (47 * </w:t>
            </w:r>
            <w:r>
              <w:rPr>
                <w:sz w:val="24"/>
                <w:szCs w:val="24"/>
              </w:rPr>
              <w:t>1 174,670</w:t>
            </w:r>
            <w:r w:rsidRPr="005E3D90">
              <w:rPr>
                <w:sz w:val="24"/>
                <w:szCs w:val="24"/>
              </w:rPr>
              <w:t xml:space="preserve"> * KVT NN) + (47 * 257,838 * KVT VN) + (47 * </w:t>
            </w:r>
            <w:r>
              <w:rPr>
                <w:sz w:val="24"/>
                <w:szCs w:val="24"/>
              </w:rPr>
              <w:t>607,688</w:t>
            </w:r>
            <w:r w:rsidRPr="005E3D90">
              <w:rPr>
                <w:sz w:val="24"/>
                <w:szCs w:val="24"/>
              </w:rPr>
              <w:t xml:space="preserve"> * KNT NN) + (47 * 58,156 * KNT VN) + (47 * 1</w:t>
            </w:r>
            <w:r>
              <w:rPr>
                <w:sz w:val="24"/>
                <w:szCs w:val="24"/>
              </w:rPr>
              <w:t> 952,972</w:t>
            </w:r>
            <w:r w:rsidRPr="005E3D90">
              <w:rPr>
                <w:sz w:val="24"/>
                <w:szCs w:val="24"/>
              </w:rPr>
              <w:t xml:space="preserve"> * KVO)</w:t>
            </w:r>
          </w:p>
        </w:tc>
      </w:tr>
      <w:tr w:rsidR="00DB437E" w:rsidRPr="009229A9" w:rsidTr="001A268C">
        <w:trPr>
          <w:trHeight w:val="1659"/>
          <w:jc w:val="center"/>
        </w:trPr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37E" w:rsidRPr="009229A9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left"/>
              <w:rPr>
                <w:color w:val="000000"/>
                <w:sz w:val="24"/>
                <w:szCs w:val="24"/>
              </w:rPr>
            </w:pPr>
            <w:r w:rsidRPr="009229A9">
              <w:rPr>
                <w:color w:val="000000"/>
                <w:sz w:val="24"/>
                <w:szCs w:val="24"/>
              </w:rPr>
              <w:t>Vzorec pre výpočet celkovej ceny použitý pri elektronickej aukcii</w:t>
            </w:r>
          </w:p>
        </w:tc>
        <w:tc>
          <w:tcPr>
            <w:tcW w:w="455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37E" w:rsidRPr="005E3D90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66" w:hanging="352"/>
              <w:jc w:val="center"/>
              <w:rPr>
                <w:sz w:val="24"/>
                <w:szCs w:val="24"/>
              </w:rPr>
            </w:pPr>
          </w:p>
          <w:p w:rsidR="00DB437E" w:rsidRPr="005E3D90" w:rsidRDefault="00DB437E" w:rsidP="001A268C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ind w:left="366" w:hanging="352"/>
              <w:jc w:val="center"/>
              <w:rPr>
                <w:b/>
                <w:bCs/>
                <w:sz w:val="24"/>
                <w:szCs w:val="24"/>
              </w:rPr>
            </w:pPr>
            <w:r w:rsidRPr="005E3D90">
              <w:rPr>
                <w:sz w:val="24"/>
                <w:szCs w:val="24"/>
              </w:rPr>
              <w:t>CC = (</w:t>
            </w:r>
            <w:r>
              <w:rPr>
                <w:sz w:val="24"/>
                <w:szCs w:val="24"/>
              </w:rPr>
              <w:t>229 223,418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sz w:val="24"/>
                <w:szCs w:val="24"/>
              </w:rPr>
              <w:t>KJT NN</w:t>
            </w:r>
            <w:r w:rsidRPr="005E3D90">
              <w:rPr>
                <w:sz w:val="24"/>
                <w:szCs w:val="24"/>
              </w:rPr>
              <w:t>) + (</w:t>
            </w:r>
            <w:r>
              <w:rPr>
                <w:sz w:val="24"/>
                <w:szCs w:val="24"/>
              </w:rPr>
              <w:t>50 384</w:t>
            </w:r>
            <w:r w:rsidRPr="005E3D90">
              <w:rPr>
                <w:sz w:val="24"/>
                <w:szCs w:val="24"/>
              </w:rPr>
              <w:t xml:space="preserve">,000 * </w:t>
            </w:r>
            <w:r w:rsidRPr="005E3D90">
              <w:rPr>
                <w:b/>
                <w:sz w:val="24"/>
                <w:szCs w:val="24"/>
              </w:rPr>
              <w:t>KJT VN</w:t>
            </w:r>
            <w:r w:rsidRPr="005E3D90">
              <w:rPr>
                <w:sz w:val="24"/>
                <w:szCs w:val="24"/>
              </w:rPr>
              <w:t>) + (</w:t>
            </w:r>
            <w:r>
              <w:rPr>
                <w:sz w:val="24"/>
                <w:szCs w:val="24"/>
              </w:rPr>
              <w:t>55 209,490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sz w:val="24"/>
                <w:szCs w:val="24"/>
              </w:rPr>
              <w:t>KVT NN</w:t>
            </w:r>
            <w:r w:rsidRPr="005E3D90">
              <w:rPr>
                <w:sz w:val="24"/>
                <w:szCs w:val="24"/>
              </w:rPr>
              <w:t xml:space="preserve">) + (12 118,386 * </w:t>
            </w:r>
            <w:r w:rsidRPr="005E3D90">
              <w:rPr>
                <w:b/>
                <w:bCs/>
                <w:sz w:val="24"/>
                <w:szCs w:val="24"/>
              </w:rPr>
              <w:t>KVT VN</w:t>
            </w:r>
            <w:r w:rsidRPr="005E3D90">
              <w:rPr>
                <w:sz w:val="24"/>
                <w:szCs w:val="24"/>
              </w:rPr>
              <w:t>) + (</w:t>
            </w:r>
            <w:r>
              <w:rPr>
                <w:sz w:val="24"/>
                <w:szCs w:val="24"/>
              </w:rPr>
              <w:t>28 561,336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sz w:val="24"/>
                <w:szCs w:val="24"/>
              </w:rPr>
              <w:t>KNT NN</w:t>
            </w:r>
            <w:r w:rsidRPr="005E3D90">
              <w:rPr>
                <w:sz w:val="24"/>
                <w:szCs w:val="24"/>
              </w:rPr>
              <w:t xml:space="preserve">) + (2 733,332 * </w:t>
            </w:r>
            <w:r w:rsidRPr="005E3D90">
              <w:rPr>
                <w:b/>
                <w:bCs/>
                <w:sz w:val="24"/>
                <w:szCs w:val="24"/>
              </w:rPr>
              <w:t>KNT VN)</w:t>
            </w:r>
            <w:r w:rsidRPr="005E3D90">
              <w:rPr>
                <w:sz w:val="24"/>
                <w:szCs w:val="24"/>
              </w:rPr>
              <w:t xml:space="preserve"> + (</w:t>
            </w:r>
            <w:r>
              <w:rPr>
                <w:sz w:val="24"/>
                <w:szCs w:val="24"/>
              </w:rPr>
              <w:t>91 789,684</w:t>
            </w:r>
            <w:r w:rsidRPr="005E3D90">
              <w:rPr>
                <w:sz w:val="24"/>
                <w:szCs w:val="24"/>
              </w:rPr>
              <w:t xml:space="preserve"> * </w:t>
            </w:r>
            <w:r w:rsidRPr="005E3D90">
              <w:rPr>
                <w:b/>
                <w:bCs/>
                <w:sz w:val="24"/>
                <w:szCs w:val="24"/>
              </w:rPr>
              <w:t>KVO)</w:t>
            </w:r>
          </w:p>
        </w:tc>
      </w:tr>
    </w:tbl>
    <w:p w:rsidR="00DB437E" w:rsidRPr="009229A9" w:rsidRDefault="00DB437E" w:rsidP="00DB437E">
      <w:pPr>
        <w:tabs>
          <w:tab w:val="left" w:pos="360"/>
        </w:tabs>
        <w:spacing w:after="0"/>
        <w:rPr>
          <w:b/>
        </w:rPr>
      </w:pPr>
    </w:p>
    <w:p w:rsidR="00DB437E" w:rsidRPr="009229A9" w:rsidRDefault="00DB437E" w:rsidP="00DB437E">
      <w:pPr>
        <w:tabs>
          <w:tab w:val="left" w:pos="360"/>
        </w:tabs>
        <w:spacing w:after="0"/>
        <w:rPr>
          <w:b/>
        </w:rPr>
      </w:pPr>
      <w:r w:rsidRPr="009229A9">
        <w:rPr>
          <w:b/>
        </w:rPr>
        <w:t xml:space="preserve">Maximálne prípustná výška jednotlivých </w:t>
      </w:r>
      <w:proofErr w:type="spellStart"/>
      <w:r w:rsidRPr="009229A9">
        <w:rPr>
          <w:b/>
        </w:rPr>
        <w:t>multiplikatívnych</w:t>
      </w:r>
      <w:proofErr w:type="spellEnd"/>
      <w:r w:rsidRPr="009229A9">
        <w:rPr>
          <w:b/>
        </w:rPr>
        <w:t xml:space="preserve"> koeficientov je nasledovná:</w:t>
      </w:r>
    </w:p>
    <w:p w:rsidR="00613487" w:rsidRPr="00DB437E" w:rsidRDefault="00DB437E" w:rsidP="00DB437E">
      <w:pPr>
        <w:tabs>
          <w:tab w:val="left" w:pos="360"/>
        </w:tabs>
        <w:jc w:val="left"/>
        <w:rPr>
          <w:bCs/>
        </w:rPr>
      </w:pPr>
      <w:r w:rsidRPr="009229A9">
        <w:rPr>
          <w:bCs/>
        </w:rPr>
        <w:t>KJT NN max= 1,15</w:t>
      </w:r>
      <w:r w:rsidRPr="009229A9">
        <w:rPr>
          <w:bCs/>
        </w:rPr>
        <w:tab/>
        <w:t>KJT VN max= 1,15</w:t>
      </w:r>
      <w:r w:rsidRPr="009229A9">
        <w:rPr>
          <w:bCs/>
        </w:rPr>
        <w:tab/>
        <w:t>KVT NN max= 1,25</w:t>
      </w:r>
      <w:r w:rsidRPr="009229A9">
        <w:rPr>
          <w:bCs/>
        </w:rPr>
        <w:tab/>
        <w:t>KVT VN max= 1,25</w:t>
      </w:r>
      <w:r w:rsidRPr="009229A9">
        <w:rPr>
          <w:bCs/>
        </w:rPr>
        <w:tab/>
        <w:t>KNT NN max= 0,90</w:t>
      </w:r>
      <w:r w:rsidRPr="009229A9">
        <w:rPr>
          <w:bCs/>
        </w:rPr>
        <w:tab/>
        <w:t>KNT VN max= 0,90          KVO max= 0,90</w:t>
      </w:r>
    </w:p>
    <w:sectPr w:rsidR="00613487" w:rsidRPr="00DB437E" w:rsidSect="00DB43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7E"/>
    <w:rsid w:val="00613487"/>
    <w:rsid w:val="00DB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3C01"/>
  <w15:chartTrackingRefBased/>
  <w15:docId w15:val="{B390066C-8680-4D90-AC3A-3EBF948A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437E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B437E"/>
    <w:pPr>
      <w:spacing w:after="0" w:line="240" w:lineRule="auto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43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437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2020-07-13T06:47:00Z</dcterms:created>
  <dcterms:modified xsi:type="dcterms:W3CDTF">2020-07-13T06:49:00Z</dcterms:modified>
</cp:coreProperties>
</file>