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6D0ACB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E4386B">
        <w:rPr>
          <w:rFonts w:ascii="Calibri" w:eastAsia="Arial" w:hAnsi="Calibri" w:cs="Calibri"/>
          <w:lang w:val="sk" w:eastAsia="sk"/>
        </w:rPr>
        <w:t>400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10CC7ED5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245AED" w:rsidRPr="00686D7D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https://josephine.proebiz.com/sk/tender/8085/summary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73E938D3" w:rsidR="00AA55B6" w:rsidRPr="00063F3D" w:rsidRDefault="007F7679" w:rsidP="002D054B">
      <w:pPr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AA55B6" w:rsidRPr="00063F3D">
        <w:rPr>
          <w:rFonts w:cstheme="minorHAnsi"/>
          <w:b/>
          <w:bCs/>
        </w:rPr>
        <w:t>Odstávkové práce - údržba kotlov K1, K2 a prislúchajúcich technologických zariadení počas jesennej odstávky 2020“</w:t>
      </w:r>
      <w:r w:rsidR="00AA55B6" w:rsidRPr="00063F3D">
        <w:rPr>
          <w:rFonts w:cstheme="minorHAnsi"/>
        </w:rPr>
        <w:t>.</w:t>
      </w:r>
    </w:p>
    <w:p w14:paraId="4C0C3595" w14:textId="58B83CF0" w:rsidR="0057058A" w:rsidRDefault="001E604B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4D2D33">
        <w:t xml:space="preserve"> </w:t>
      </w:r>
      <w:r w:rsidR="0057058A" w:rsidRPr="00650941">
        <w:rPr>
          <w:szCs w:val="24"/>
        </w:rPr>
        <w:t>45259000-7 Opravy a údržba zariadenia , 45252300-1 Stavebné práce na spaľovniach odpadu, 45255400-3 Montážne práce , 45111300-1 Demontážne práce, 90500000-2 Služby súvisiace s likvidáciou odpadu a odpadom</w:t>
      </w:r>
      <w:r w:rsidR="0057058A" w:rsidRPr="0094438A">
        <w:rPr>
          <w:rFonts w:ascii="Calibri" w:eastAsia="Arial" w:hAnsi="Calibri" w:cs="Calibri"/>
          <w:bCs/>
          <w:lang w:eastAsia="sk"/>
        </w:rPr>
        <w:t xml:space="preserve"> </w:t>
      </w:r>
      <w:r w:rsidR="00E2477F">
        <w:rPr>
          <w:rFonts w:ascii="Calibri" w:eastAsia="Arial" w:hAnsi="Calibri" w:cs="Calibri"/>
          <w:bCs/>
          <w:lang w:eastAsia="sk"/>
        </w:rPr>
        <w:t>.</w:t>
      </w:r>
    </w:p>
    <w:p w14:paraId="6949D576" w14:textId="2F0699BB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</w:t>
      </w:r>
      <w:r w:rsidR="00037FCA">
        <w:rPr>
          <w:rFonts w:ascii="Calibri" w:eastAsia="Arial" w:hAnsi="Calibri" w:cs="Calibri"/>
          <w:bCs/>
          <w:lang w:eastAsia="sk"/>
        </w:rPr>
        <w:t>práca</w:t>
      </w:r>
      <w:r w:rsidR="00DF6AD0">
        <w:rPr>
          <w:rFonts w:ascii="Calibri" w:eastAsia="Arial" w:hAnsi="Calibri" w:cs="Calibri"/>
          <w:bCs/>
          <w:lang w:eastAsia="sk"/>
        </w:rPr>
        <w:t>,</w:t>
      </w:r>
      <w:r>
        <w:rPr>
          <w:rFonts w:ascii="Calibri" w:eastAsia="Arial" w:hAnsi="Calibri" w:cs="Calibri"/>
          <w:bCs/>
          <w:lang w:eastAsia="sk"/>
        </w:rPr>
        <w:t xml:space="preserve"> </w:t>
      </w:r>
      <w:r w:rsidR="00895E51">
        <w:rPr>
          <w:rFonts w:ascii="Calibri" w:eastAsia="Arial" w:hAnsi="Calibri" w:cs="Calibri"/>
          <w:bCs/>
          <w:lang w:eastAsia="sk"/>
        </w:rPr>
        <w:t>služby</w:t>
      </w:r>
    </w:p>
    <w:p w14:paraId="6304B879" w14:textId="5458C340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         </w:t>
      </w:r>
    </w:p>
    <w:p w14:paraId="6B53FF74" w14:textId="45F07DAD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                                                    </w:t>
      </w:r>
      <w:r w:rsidR="007F7679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4B2F4739" w:rsidR="0065567A" w:rsidRPr="00063F3D" w:rsidRDefault="00895E51" w:rsidP="00D123EA">
      <w:pPr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2D054B" w:rsidRPr="00D123EA">
        <w:rPr>
          <w:rFonts w:cstheme="minorHAnsi"/>
          <w:color w:val="333333"/>
          <w:shd w:val="clear" w:color="auto" w:fill="FFFFFF"/>
        </w:rPr>
        <w:t xml:space="preserve">realizácia </w:t>
      </w:r>
      <w:r w:rsidR="00063F3D" w:rsidRPr="00063F3D">
        <w:rPr>
          <w:rFonts w:cstheme="minorHAnsi"/>
        </w:rPr>
        <w:t>o</w:t>
      </w:r>
      <w:r w:rsidR="002D054B" w:rsidRPr="00063F3D">
        <w:rPr>
          <w:rFonts w:cstheme="minorHAnsi"/>
        </w:rPr>
        <w:t>dstávkových prác - údržba kotlov K1, K2 a prislúchajúcich technologických zariadení počas jesennej odstávky 2020</w:t>
      </w:r>
      <w:r w:rsidR="00D123EA" w:rsidRPr="00063F3D">
        <w:rPr>
          <w:rFonts w:cstheme="minorHAnsi"/>
        </w:rPr>
        <w:t xml:space="preserve"> </w:t>
      </w:r>
      <w:r w:rsidRPr="00063F3D">
        <w:rPr>
          <w:rFonts w:cstheme="minorHAnsi"/>
          <w:color w:val="333333"/>
          <w:shd w:val="clear" w:color="auto" w:fill="FFFFFF"/>
        </w:rPr>
        <w:t>v ZEVO,.</w:t>
      </w: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34686D0E" w:rsidR="00C535B8" w:rsidRPr="00F75109" w:rsidRDefault="00F75109" w:rsidP="00F75109">
      <w:pPr>
        <w:widowControl w:val="0"/>
        <w:tabs>
          <w:tab w:val="left" w:pos="709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="00063F3D">
        <w:rPr>
          <w:rFonts w:ascii="Calibri" w:eastAsia="Arial" w:hAnsi="Calibri" w:cs="Calibri"/>
          <w:lang w:eastAsia="sk"/>
        </w:rPr>
        <w:t>95</w:t>
      </w:r>
      <w:r w:rsidR="00895E51">
        <w:rPr>
          <w:rFonts w:ascii="Calibri" w:eastAsia="Arial" w:hAnsi="Calibri" w:cs="Calibri"/>
          <w:lang w:eastAsia="sk"/>
        </w:rPr>
        <w:t> </w:t>
      </w:r>
      <w:r w:rsidR="00063F3D">
        <w:rPr>
          <w:rFonts w:ascii="Calibri" w:eastAsia="Arial" w:hAnsi="Calibri" w:cs="Calibri"/>
          <w:lang w:eastAsia="sk"/>
        </w:rPr>
        <w:t>499</w:t>
      </w:r>
      <w:r w:rsidR="00895E51">
        <w:rPr>
          <w:rFonts w:ascii="Calibri" w:eastAsia="Arial" w:hAnsi="Calibri" w:cs="Calibri"/>
          <w:lang w:eastAsia="sk"/>
        </w:rPr>
        <w:t>,0</w:t>
      </w:r>
      <w:r w:rsidR="00063F3D">
        <w:rPr>
          <w:rFonts w:ascii="Calibri" w:eastAsia="Arial" w:hAnsi="Calibri" w:cs="Calibri"/>
          <w:lang w:eastAsia="sk"/>
        </w:rPr>
        <w:t>0</w:t>
      </w:r>
      <w:r w:rsidR="00895E51">
        <w:rPr>
          <w:rFonts w:ascii="Calibri" w:eastAsia="Arial" w:hAnsi="Calibri" w:cs="Calibri"/>
          <w:lang w:eastAsia="sk"/>
        </w:rPr>
        <w:t xml:space="preserve"> </w:t>
      </w:r>
      <w:r w:rsidR="005975F4">
        <w:rPr>
          <w:rFonts w:ascii="Calibri" w:eastAsia="Arial" w:hAnsi="Calibri" w:cs="Calibri"/>
          <w:lang w:eastAsia="sk"/>
        </w:rPr>
        <w:t>€ bez DPH</w:t>
      </w:r>
    </w:p>
    <w:p w14:paraId="1607ECCF" w14:textId="49148768" w:rsidR="00897E6E" w:rsidRDefault="00897E6E" w:rsidP="00897E6E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26849EB6" w14:textId="48C9686F" w:rsidR="00897E6E" w:rsidRDefault="00897E6E" w:rsidP="00897E6E">
      <w:pPr>
        <w:widowControl w:val="0"/>
        <w:autoSpaceDE w:val="0"/>
        <w:autoSpaceDN w:val="0"/>
        <w:spacing w:after="0"/>
        <w:ind w:left="720"/>
        <w:jc w:val="both"/>
        <w:rPr>
          <w:rFonts w:cstheme="minorHAnsi"/>
        </w:rPr>
      </w:pP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409D26F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063F3D">
        <w:rPr>
          <w:color w:val="auto"/>
          <w:sz w:val="22"/>
          <w:szCs w:val="22"/>
        </w:rPr>
        <w:t>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o dielo</w:t>
      </w:r>
      <w:r w:rsidR="00895E51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do 15.11.2020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23BE4AA3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288564BC" w14:textId="1DE7F389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Úspešný uchádzač </w:t>
      </w:r>
      <w:r w:rsidR="00D35AC9">
        <w:rPr>
          <w:rFonts w:cstheme="minorHAnsi"/>
        </w:rPr>
        <w:t>predloží k termínu podpisu zmluvy nasledujúce oprávnenia:</w:t>
      </w:r>
    </w:p>
    <w:p w14:paraId="04400D9A" w14:textId="77777777" w:rsidR="009A7AB0" w:rsidRPr="000A789A" w:rsidRDefault="009A7AB0" w:rsidP="009A7AB0">
      <w:pPr>
        <w:pStyle w:val="Odsekzoznamu"/>
        <w:numPr>
          <w:ilvl w:val="0"/>
          <w:numId w:val="17"/>
        </w:numPr>
        <w:rPr>
          <w:szCs w:val="24"/>
        </w:rPr>
      </w:pPr>
      <w:r w:rsidRPr="000A789A">
        <w:rPr>
          <w:szCs w:val="24"/>
        </w:rPr>
        <w:t xml:space="preserve">Oprávnenie na opravu </w:t>
      </w:r>
      <w:r w:rsidRPr="000A789A">
        <w:rPr>
          <w:b/>
          <w:szCs w:val="24"/>
        </w:rPr>
        <w:t>„Vyhradených technických zariadení tlakových“</w:t>
      </w:r>
      <w:r w:rsidRPr="000A789A">
        <w:rPr>
          <w:szCs w:val="24"/>
        </w:rPr>
        <w:t xml:space="preserve"> v rozsahu</w:t>
      </w:r>
      <w:bookmarkStart w:id="0" w:name="_Hlk3875923"/>
      <w:r w:rsidRPr="000A789A">
        <w:rPr>
          <w:szCs w:val="24"/>
        </w:rPr>
        <w:t>: oprava a údržba, montáž do funkčného celku na mieste budúcej prevádzky,</w:t>
      </w:r>
    </w:p>
    <w:bookmarkEnd w:id="0"/>
    <w:p w14:paraId="28566FDD" w14:textId="77777777" w:rsidR="009A7AB0" w:rsidRPr="000A789A" w:rsidRDefault="009A7AB0" w:rsidP="009A7AB0">
      <w:pPr>
        <w:pStyle w:val="Odsekzoznamu"/>
        <w:numPr>
          <w:ilvl w:val="0"/>
          <w:numId w:val="17"/>
        </w:numPr>
        <w:jc w:val="both"/>
        <w:rPr>
          <w:szCs w:val="24"/>
        </w:rPr>
      </w:pPr>
      <w:r w:rsidRPr="000A789A">
        <w:rPr>
          <w:szCs w:val="24"/>
        </w:rPr>
        <w:t xml:space="preserve">Oprávnenie na opravu </w:t>
      </w:r>
      <w:r w:rsidRPr="000A789A">
        <w:rPr>
          <w:b/>
          <w:szCs w:val="24"/>
        </w:rPr>
        <w:t>„Vyhradených technických zariadení plynových“</w:t>
      </w:r>
      <w:r w:rsidRPr="000A789A">
        <w:rPr>
          <w:szCs w:val="24"/>
        </w:rPr>
        <w:t xml:space="preserve"> v rozsahu: oprava a údržba, montáž do funkčného celku na mieste budúcej prevádzky,</w:t>
      </w:r>
    </w:p>
    <w:p w14:paraId="170E3D7D" w14:textId="77777777" w:rsidR="009A7AB0" w:rsidRPr="000A789A" w:rsidRDefault="009A7AB0" w:rsidP="009A7AB0">
      <w:pPr>
        <w:pStyle w:val="Odsekzoznamu"/>
        <w:numPr>
          <w:ilvl w:val="0"/>
          <w:numId w:val="17"/>
        </w:numPr>
        <w:jc w:val="both"/>
        <w:rPr>
          <w:szCs w:val="24"/>
        </w:rPr>
      </w:pPr>
      <w:r w:rsidRPr="000A789A">
        <w:rPr>
          <w:szCs w:val="24"/>
        </w:rPr>
        <w:t xml:space="preserve">Oprávnenie na opravu </w:t>
      </w:r>
      <w:r w:rsidRPr="000A789A">
        <w:rPr>
          <w:b/>
          <w:szCs w:val="24"/>
        </w:rPr>
        <w:t>„Vyhradených technických zariadení elektrických“</w:t>
      </w:r>
      <w:r w:rsidRPr="000A789A">
        <w:rPr>
          <w:szCs w:val="24"/>
        </w:rPr>
        <w:t xml:space="preserve"> v rozsahu: oprava a údržba, montáž do funkčného celku na mieste budúcej prevádzky,</w:t>
      </w:r>
    </w:p>
    <w:p w14:paraId="1859B3D6" w14:textId="77777777" w:rsidR="009A7AB0" w:rsidRPr="000A789A" w:rsidRDefault="009A7AB0" w:rsidP="009A7AB0">
      <w:pPr>
        <w:pStyle w:val="Odsekzoznamu"/>
        <w:numPr>
          <w:ilvl w:val="0"/>
          <w:numId w:val="17"/>
        </w:numPr>
        <w:jc w:val="both"/>
        <w:rPr>
          <w:szCs w:val="24"/>
        </w:rPr>
      </w:pPr>
      <w:r w:rsidRPr="000A789A">
        <w:rPr>
          <w:szCs w:val="24"/>
        </w:rPr>
        <w:t xml:space="preserve">Oprávnenie na opravu </w:t>
      </w:r>
      <w:r w:rsidRPr="000A789A">
        <w:rPr>
          <w:b/>
          <w:szCs w:val="24"/>
        </w:rPr>
        <w:t>„Vyhradených technických zariadení zdvíhacích“</w:t>
      </w:r>
      <w:r w:rsidRPr="000A789A">
        <w:rPr>
          <w:szCs w:val="24"/>
        </w:rPr>
        <w:t xml:space="preserve"> v rozsahu: oprava a údržba, montáž do funkčného celku na mieste budúcej prevádzky,</w:t>
      </w:r>
    </w:p>
    <w:p w14:paraId="4454E0E6" w14:textId="77777777" w:rsidR="009A7AB0" w:rsidRPr="000A789A" w:rsidRDefault="009A7AB0" w:rsidP="009A7AB0">
      <w:pPr>
        <w:pStyle w:val="Odsekzoznamu"/>
        <w:numPr>
          <w:ilvl w:val="0"/>
          <w:numId w:val="17"/>
        </w:numPr>
        <w:jc w:val="both"/>
        <w:rPr>
          <w:szCs w:val="24"/>
        </w:rPr>
      </w:pPr>
      <w:r w:rsidRPr="000A789A">
        <w:rPr>
          <w:szCs w:val="24"/>
        </w:rPr>
        <w:t>Osvedčenie poverených riadiacich zamestnancov na činnosť: riadiť práce pri opravách alebo samostatne opravovať vyhradené technické zariadenia tlakové podľa § 18 Vyhlášky MPSV SR č. 508/2009 Z. z.</w:t>
      </w:r>
    </w:p>
    <w:p w14:paraId="0744AE53" w14:textId="77777777" w:rsidR="009A7AB0" w:rsidRPr="000A789A" w:rsidRDefault="009A7AB0" w:rsidP="009A7AB0">
      <w:pPr>
        <w:pStyle w:val="Odsekzoznamu"/>
        <w:numPr>
          <w:ilvl w:val="0"/>
          <w:numId w:val="17"/>
        </w:numPr>
        <w:jc w:val="both"/>
        <w:rPr>
          <w:szCs w:val="24"/>
        </w:rPr>
      </w:pPr>
      <w:r w:rsidRPr="000A789A">
        <w:rPr>
          <w:szCs w:val="24"/>
        </w:rPr>
        <w:t>Osvedčenie poverených riadiacich zamestnancov na činnosť: oprava a údržba zdvíhacích zriadení.</w:t>
      </w: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459770D5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EB26BE">
        <w:rPr>
          <w:rFonts w:cstheme="minorHAnsi"/>
          <w:b/>
          <w:bCs/>
        </w:rPr>
        <w:t>2</w:t>
      </w:r>
      <w:r w:rsidR="00986664">
        <w:rPr>
          <w:rFonts w:cstheme="minorHAnsi"/>
          <w:b/>
          <w:bCs/>
        </w:rPr>
        <w:t>8</w:t>
      </w:r>
      <w:r w:rsidR="00895E51" w:rsidRPr="00E87E81">
        <w:rPr>
          <w:rFonts w:cstheme="minorHAnsi"/>
          <w:b/>
          <w:bCs/>
        </w:rPr>
        <w:t>.</w:t>
      </w:r>
      <w:r w:rsidR="00513753">
        <w:rPr>
          <w:rFonts w:cstheme="minorHAnsi"/>
          <w:b/>
          <w:bCs/>
        </w:rPr>
        <w:t>7</w:t>
      </w:r>
      <w:r w:rsidR="00895E51" w:rsidRPr="00E87E81">
        <w:rPr>
          <w:rFonts w:cstheme="minorHAnsi"/>
          <w:b/>
          <w:bCs/>
        </w:rPr>
        <w:t>.</w:t>
      </w:r>
      <w:r w:rsidR="00D36D7D">
        <w:rPr>
          <w:rFonts w:cstheme="minorHAnsi"/>
          <w:b/>
          <w:bCs/>
        </w:rPr>
        <w:t>-</w:t>
      </w:r>
      <w:r w:rsidR="006D2C97">
        <w:rPr>
          <w:rFonts w:cstheme="minorHAnsi"/>
          <w:b/>
          <w:bCs/>
        </w:rPr>
        <w:t>6</w:t>
      </w:r>
      <w:r w:rsidR="00D36D7D">
        <w:rPr>
          <w:rFonts w:cstheme="minorHAnsi"/>
          <w:b/>
          <w:bCs/>
        </w:rPr>
        <w:t>.</w:t>
      </w:r>
      <w:r w:rsidR="006D2C97">
        <w:rPr>
          <w:rFonts w:cstheme="minorHAnsi"/>
          <w:b/>
          <w:bCs/>
        </w:rPr>
        <w:t>8</w:t>
      </w:r>
      <w:r w:rsidR="00D36D7D">
        <w:rPr>
          <w:rFonts w:cstheme="minorHAnsi"/>
          <w:b/>
          <w:bCs/>
        </w:rPr>
        <w:t>.</w:t>
      </w:r>
      <w:r w:rsidR="00895E51" w:rsidRPr="00E87E81">
        <w:rPr>
          <w:rFonts w:cstheme="minorHAnsi"/>
          <w:b/>
          <w:bCs/>
        </w:rPr>
        <w:t xml:space="preserve"> 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75F950B2" w:rsidR="00F05AD0" w:rsidRPr="00E87E81" w:rsidRDefault="00E87E81" w:rsidP="00E87E81">
      <w:pPr>
        <w:autoSpaceDE w:val="0"/>
        <w:autoSpaceDN w:val="0"/>
        <w:spacing w:after="0"/>
        <w:ind w:left="426" w:hanging="142"/>
        <w:rPr>
          <w:rFonts w:cstheme="minorHAnsi"/>
          <w:color w:val="404040"/>
        </w:rPr>
      </w:pPr>
      <w:r>
        <w:rPr>
          <w:rFonts w:cstheme="minorHAnsi"/>
          <w:b/>
          <w:bCs/>
        </w:rPr>
        <w:t xml:space="preserve"> </w:t>
      </w:r>
      <w:r w:rsidR="00F05AD0" w:rsidRPr="00E87E81">
        <w:rPr>
          <w:rFonts w:cstheme="minorHAnsi"/>
          <w:b/>
          <w:bCs/>
        </w:rPr>
        <w:t xml:space="preserve"> </w:t>
      </w:r>
      <w:r w:rsidR="00F05AD0" w:rsidRPr="00E87E81">
        <w:rPr>
          <w:rFonts w:cstheme="minorHAnsi"/>
          <w:b/>
          <w:bCs/>
          <w:color w:val="404040"/>
        </w:rPr>
        <w:t>Ing. Róbert Duba,</w:t>
      </w:r>
      <w:r w:rsidR="00477F98" w:rsidRPr="00E87E81">
        <w:rPr>
          <w:rFonts w:cstheme="minorHAnsi"/>
          <w:b/>
          <w:bCs/>
          <w:color w:val="404040"/>
        </w:rPr>
        <w:t xml:space="preserve"> </w:t>
      </w:r>
      <w:r w:rsidRPr="00E87E81">
        <w:rPr>
          <w:rFonts w:cstheme="minorHAnsi"/>
          <w:color w:val="404040"/>
        </w:rPr>
        <w:t xml:space="preserve"> </w:t>
      </w:r>
      <w:r>
        <w:rPr>
          <w:rFonts w:cstheme="minorHAnsi"/>
          <w:color w:val="404040"/>
        </w:rPr>
        <w:t>T</w:t>
      </w:r>
      <w:r w:rsidR="00F05AD0" w:rsidRPr="00E87E81">
        <w:rPr>
          <w:rFonts w:cstheme="minorHAnsi"/>
          <w:color w:val="404040"/>
        </w:rPr>
        <w:t>el: +421/2/40 206</w:t>
      </w:r>
      <w:r>
        <w:rPr>
          <w:rFonts w:cstheme="minorHAnsi"/>
          <w:color w:val="404040"/>
        </w:rPr>
        <w:t> </w:t>
      </w:r>
      <w:r w:rsidR="00F05AD0" w:rsidRPr="00E87E81">
        <w:rPr>
          <w:rFonts w:cstheme="minorHAnsi"/>
          <w:color w:val="404040"/>
        </w:rPr>
        <w:t>019</w:t>
      </w:r>
      <w:r>
        <w:rPr>
          <w:rFonts w:cstheme="minorHAnsi"/>
          <w:color w:val="404040"/>
        </w:rPr>
        <w:t xml:space="preserve">,  </w:t>
      </w:r>
      <w:r w:rsidR="00F05AD0" w:rsidRPr="00E87E81">
        <w:rPr>
          <w:rFonts w:cstheme="minorHAnsi"/>
          <w:color w:val="404040"/>
        </w:rPr>
        <w:t xml:space="preserve">Mobil: +421/907 582 314 </w:t>
      </w:r>
      <w:r>
        <w:rPr>
          <w:rFonts w:cstheme="minorHAnsi"/>
          <w:color w:val="404040"/>
        </w:rPr>
        <w:t xml:space="preserve">, </w:t>
      </w:r>
      <w:r w:rsidR="00F05AD0" w:rsidRPr="00E87E81">
        <w:rPr>
          <w:rFonts w:cstheme="minorHAnsi"/>
          <w:color w:val="404040"/>
        </w:rPr>
        <w:t xml:space="preserve">e-mail: </w:t>
      </w:r>
      <w:hyperlink r:id="rId11" w:history="1">
        <w:r w:rsidR="00F05AD0" w:rsidRPr="00E87E81">
          <w:rPr>
            <w:rStyle w:val="Hypertextovprepojenie"/>
            <w:rFonts w:cstheme="minorHAnsi"/>
          </w:rPr>
          <w:t>duba@olo.sk</w:t>
        </w:r>
      </w:hyperlink>
    </w:p>
    <w:p w14:paraId="3452F60A" w14:textId="776C8F58" w:rsidR="00895E51" w:rsidRPr="00990923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</w:p>
    <w:p w14:paraId="227211AA" w14:textId="77777777" w:rsidR="00334491" w:rsidRDefault="00334491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08C0B7C7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EB26BE">
        <w:rPr>
          <w:rFonts w:cstheme="minorHAnsi"/>
          <w:color w:val="000000" w:themeColor="text1"/>
          <w:lang w:eastAsia="sk"/>
        </w:rPr>
        <w:t>do 15.11.2020</w:t>
      </w:r>
    </w:p>
    <w:p w14:paraId="441340DC" w14:textId="24AEA3D8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 </w:t>
      </w:r>
    </w:p>
    <w:p w14:paraId="5AD05FB9" w14:textId="77777777" w:rsidR="00EC13D2" w:rsidRPr="00352F7B" w:rsidRDefault="00EC13D2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</w:t>
      </w:r>
      <w:r w:rsidRPr="00E45F2F">
        <w:lastRenderedPageBreak/>
        <w:t xml:space="preserve">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2D3E00FC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BE1F44" w:rsidRPr="00686D7D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https://josephine.proebiz.com/sk/tender/8085/summary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D23007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</w:t>
      </w:r>
      <w:r w:rsidR="00E45F2F" w:rsidRPr="00E45F2F">
        <w:rPr>
          <w:rFonts w:ascii="Calibri" w:eastAsia="Arial" w:hAnsi="Calibri" w:cs="Calibri"/>
          <w:lang w:eastAsia="sk"/>
        </w:rPr>
        <w:lastRenderedPageBreak/>
        <w:t xml:space="preserve">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D23007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B345F34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10</w:t>
      </w:r>
      <w:r w:rsidR="00032EFA">
        <w:rPr>
          <w:rFonts w:ascii="Calibri" w:eastAsia="Arial" w:hAnsi="Calibri" w:cs="Calibri"/>
          <w:lang w:eastAsia="sk"/>
        </w:rPr>
        <w:t>.</w:t>
      </w:r>
      <w:r w:rsidR="000E3995">
        <w:rPr>
          <w:rFonts w:ascii="Calibri" w:eastAsia="Arial" w:hAnsi="Calibri" w:cs="Calibri"/>
          <w:lang w:eastAsia="sk"/>
        </w:rPr>
        <w:t>8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990923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20D3D3D7" w:rsidR="009B0997" w:rsidRDefault="00D23007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87E81" w:rsidRPr="003C7E6E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https://josephine.proebiz.com/sk/tender/76</w:t>
        </w:r>
        <w:r w:rsidR="00E87E81">
          <w:rPr>
            <w:rStyle w:val="Hypertextovprepojenie"/>
            <w:rFonts w:ascii="Calibri" w:eastAsia="Arial" w:hAnsi="Calibri" w:cs="Calibri"/>
            <w:lang w:eastAsia="sk"/>
          </w:rPr>
          <w:t>94</w:t>
        </w:r>
        <w:r w:rsidR="00E87E81" w:rsidRPr="003C7E6E">
          <w:rPr>
            <w:rStyle w:val="Hypertextovprepojenie"/>
            <w:rFonts w:ascii="Calibri" w:eastAsia="Arial" w:hAnsi="Calibri" w:cs="Calibri"/>
            <w:lang w:eastAsia="sk"/>
          </w:rPr>
          <w:t>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6C7BA08" w14:textId="77777777" w:rsidR="007E1461" w:rsidRDefault="007E1461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</w:t>
      </w:r>
      <w:r w:rsidRPr="008A320E">
        <w:rPr>
          <w:rFonts w:ascii="Calibri" w:eastAsia="Arial" w:hAnsi="Calibri" w:cs="Calibri"/>
          <w:lang w:eastAsia="sk"/>
        </w:rPr>
        <w:lastRenderedPageBreak/>
        <w:t>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lastRenderedPageBreak/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6A76307C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o dielo</w:t>
      </w:r>
      <w:r>
        <w:rPr>
          <w:rFonts w:ascii="Calibri" w:eastAsia="Arial" w:hAnsi="Calibri" w:cs="Calibri"/>
          <w:b/>
          <w:bCs/>
          <w:lang w:eastAsia="sk"/>
        </w:rPr>
        <w:t>.</w:t>
      </w:r>
    </w:p>
    <w:p w14:paraId="21AFD324" w14:textId="18EA106D" w:rsidR="00C55209" w:rsidRDefault="00C55209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</w:p>
    <w:p w14:paraId="3F3AA816" w14:textId="7C47787F" w:rsidR="001E604B" w:rsidRPr="001E604B" w:rsidRDefault="006C7BEE" w:rsidP="00262BBE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 </w:t>
      </w:r>
    </w:p>
    <w:p w14:paraId="522D6988" w14:textId="77777777"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14:paraId="02E6696B" w14:textId="77777777" w:rsidR="001E604B" w:rsidRPr="001E604B" w:rsidRDefault="001E604B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C66D009" w14:textId="77777777"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14:paraId="2EA98CBE" w14:textId="62D736E1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9228C7">
        <w:rPr>
          <w:rFonts w:ascii="Calibri" w:eastAsia="Arial" w:hAnsi="Calibri" w:cs="Calibri"/>
          <w:lang w:val="sk" w:eastAsia="sk"/>
        </w:rPr>
        <w:t>24</w:t>
      </w:r>
      <w:r w:rsidR="00772C10">
        <w:rPr>
          <w:rFonts w:ascii="Calibri" w:eastAsia="Arial" w:hAnsi="Calibri" w:cs="Calibri"/>
          <w:lang w:val="sk" w:eastAsia="sk"/>
        </w:rPr>
        <w:t>.</w:t>
      </w:r>
      <w:r w:rsidR="00A775E4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A3335" w14:textId="77777777" w:rsidR="00D23007" w:rsidRDefault="00D23007" w:rsidP="00F14090">
      <w:pPr>
        <w:spacing w:after="0" w:line="240" w:lineRule="auto"/>
      </w:pPr>
      <w:r>
        <w:separator/>
      </w:r>
    </w:p>
  </w:endnote>
  <w:endnote w:type="continuationSeparator" w:id="0">
    <w:p w14:paraId="3B695580" w14:textId="77777777" w:rsidR="00D23007" w:rsidRDefault="00D23007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26B5C" w14:textId="77777777" w:rsidR="00D23007" w:rsidRDefault="00D23007" w:rsidP="00F14090">
      <w:pPr>
        <w:spacing w:after="0" w:line="240" w:lineRule="auto"/>
      </w:pPr>
      <w:r>
        <w:separator/>
      </w:r>
    </w:p>
  </w:footnote>
  <w:footnote w:type="continuationSeparator" w:id="0">
    <w:p w14:paraId="016D9EDE" w14:textId="77777777" w:rsidR="00D23007" w:rsidRDefault="00D23007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D23007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0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1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5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9"/>
  </w:num>
  <w:num w:numId="5">
    <w:abstractNumId w:val="15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3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1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769C"/>
    <w:rsid w:val="000B4653"/>
    <w:rsid w:val="000C663C"/>
    <w:rsid w:val="000D6998"/>
    <w:rsid w:val="000E3864"/>
    <w:rsid w:val="000E3995"/>
    <w:rsid w:val="000F0D46"/>
    <w:rsid w:val="001036FC"/>
    <w:rsid w:val="00114F79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9484C"/>
    <w:rsid w:val="00194FCD"/>
    <w:rsid w:val="001A435D"/>
    <w:rsid w:val="001B16B3"/>
    <w:rsid w:val="001C616E"/>
    <w:rsid w:val="001C6A88"/>
    <w:rsid w:val="001E11A8"/>
    <w:rsid w:val="001E19D6"/>
    <w:rsid w:val="001E41EA"/>
    <w:rsid w:val="001E5169"/>
    <w:rsid w:val="001E604B"/>
    <w:rsid w:val="001F69CA"/>
    <w:rsid w:val="00203801"/>
    <w:rsid w:val="00213526"/>
    <w:rsid w:val="00213CBF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6456"/>
    <w:rsid w:val="004220F3"/>
    <w:rsid w:val="0042212F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95334"/>
    <w:rsid w:val="0059724C"/>
    <w:rsid w:val="005975F4"/>
    <w:rsid w:val="005A094D"/>
    <w:rsid w:val="005A2648"/>
    <w:rsid w:val="005C56BC"/>
    <w:rsid w:val="005D78CE"/>
    <w:rsid w:val="005F03F6"/>
    <w:rsid w:val="006020B9"/>
    <w:rsid w:val="0061672F"/>
    <w:rsid w:val="00616A03"/>
    <w:rsid w:val="006236D7"/>
    <w:rsid w:val="00630156"/>
    <w:rsid w:val="00632F64"/>
    <w:rsid w:val="0064080C"/>
    <w:rsid w:val="0065567A"/>
    <w:rsid w:val="00662B03"/>
    <w:rsid w:val="00687801"/>
    <w:rsid w:val="006A0B45"/>
    <w:rsid w:val="006A291B"/>
    <w:rsid w:val="006A45B5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70353B"/>
    <w:rsid w:val="007114D3"/>
    <w:rsid w:val="00713C01"/>
    <w:rsid w:val="0071407E"/>
    <w:rsid w:val="0071425C"/>
    <w:rsid w:val="007208CB"/>
    <w:rsid w:val="007238DC"/>
    <w:rsid w:val="00726DAE"/>
    <w:rsid w:val="007306A3"/>
    <w:rsid w:val="00736218"/>
    <w:rsid w:val="00751102"/>
    <w:rsid w:val="007676BF"/>
    <w:rsid w:val="00772C10"/>
    <w:rsid w:val="007805D8"/>
    <w:rsid w:val="00783E00"/>
    <w:rsid w:val="007867D7"/>
    <w:rsid w:val="00791113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D6D31"/>
    <w:rsid w:val="009E385D"/>
    <w:rsid w:val="009E6ECB"/>
    <w:rsid w:val="009E770F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26F2"/>
    <w:rsid w:val="00A8748A"/>
    <w:rsid w:val="00A936A4"/>
    <w:rsid w:val="00A9706C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550F"/>
    <w:rsid w:val="00BF240C"/>
    <w:rsid w:val="00C0169C"/>
    <w:rsid w:val="00C03CF9"/>
    <w:rsid w:val="00C21BEB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4C85"/>
    <w:rsid w:val="00DC5DDC"/>
    <w:rsid w:val="00DC6B4F"/>
    <w:rsid w:val="00DD0FA9"/>
    <w:rsid w:val="00DD66B9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4356"/>
    <w:rsid w:val="00E64DD5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8085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7611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ba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8085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36</cp:revision>
  <cp:lastPrinted>2020-07-24T07:17:00Z</cp:lastPrinted>
  <dcterms:created xsi:type="dcterms:W3CDTF">2020-07-14T11:56:00Z</dcterms:created>
  <dcterms:modified xsi:type="dcterms:W3CDTF">2020-07-24T12:06:00Z</dcterms:modified>
</cp:coreProperties>
</file>