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7238" w:rsidRDefault="00D27238" w:rsidP="00313879">
      <w:pPr>
        <w:jc w:val="both"/>
        <w:rPr>
          <w:b/>
        </w:rPr>
      </w:pPr>
      <w:bookmarkStart w:id="0" w:name="_Hlk24021419"/>
      <w:r>
        <w:rPr>
          <w:b/>
        </w:rPr>
        <w:t>Príloha č. 1 k </w:t>
      </w:r>
      <w:proofErr w:type="spellStart"/>
      <w:r>
        <w:rPr>
          <w:b/>
        </w:rPr>
        <w:t>ZoD</w:t>
      </w:r>
      <w:proofErr w:type="spellEnd"/>
      <w:r>
        <w:rPr>
          <w:b/>
        </w:rPr>
        <w:t xml:space="preserve"> č. ...................</w:t>
      </w:r>
      <w:bookmarkEnd w:id="0"/>
    </w:p>
    <w:p w:rsidR="00313879" w:rsidRPr="005A3FA7" w:rsidRDefault="006507E7" w:rsidP="00313879">
      <w:pPr>
        <w:jc w:val="both"/>
        <w:rPr>
          <w:b/>
        </w:rPr>
      </w:pPr>
      <w:r w:rsidRPr="006507E7">
        <w:rPr>
          <w:b/>
        </w:rPr>
        <w:t>Špecifikácia diela, technické požiadavky</w:t>
      </w:r>
    </w:p>
    <w:p w:rsidR="00313879" w:rsidRPr="005A3FA7" w:rsidRDefault="00313879" w:rsidP="00313879">
      <w:pPr>
        <w:jc w:val="both"/>
        <w:rPr>
          <w:color w:val="222222"/>
        </w:rPr>
      </w:pPr>
      <w:r w:rsidRPr="005A3FA7">
        <w:rPr>
          <w:b/>
          <w:bCs/>
          <w:color w:val="222222"/>
        </w:rPr>
        <w:t>Predmet zákazky:</w:t>
      </w:r>
      <w:r w:rsidRPr="005A3FA7">
        <w:rPr>
          <w:b/>
          <w:bCs/>
        </w:rPr>
        <w:t xml:space="preserve"> </w:t>
      </w:r>
      <w:r w:rsidRPr="005A3FA7">
        <w:rPr>
          <w:color w:val="222222"/>
        </w:rPr>
        <w:t>Poskytnutie služby</w:t>
      </w:r>
    </w:p>
    <w:p w:rsidR="00313879" w:rsidRPr="005A3FA7" w:rsidRDefault="00313879" w:rsidP="00313879">
      <w:pPr>
        <w:jc w:val="both"/>
        <w:rPr>
          <w:b/>
          <w:bCs/>
          <w:color w:val="222222"/>
        </w:rPr>
      </w:pPr>
      <w:r w:rsidRPr="005A3FA7">
        <w:rPr>
          <w:b/>
          <w:bCs/>
          <w:color w:val="222222"/>
        </w:rPr>
        <w:t xml:space="preserve">Kategória služby, číslo: </w:t>
      </w:r>
      <w:r w:rsidRPr="005A3FA7">
        <w:rPr>
          <w:color w:val="222222"/>
        </w:rPr>
        <w:t>12 - Architektonické služby; inžinierske služby a komplexné inžinierske služby; mestské plánovanie a krajinná architektúra; súvisiace odborné a technické poradenské služby, technické testovanie a analýzy </w:t>
      </w:r>
    </w:p>
    <w:p w:rsidR="00313879" w:rsidRDefault="00313879" w:rsidP="00313879">
      <w:pPr>
        <w:shd w:val="clear" w:color="auto" w:fill="FFFFFF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Názov zákazky: </w:t>
      </w:r>
      <w:r w:rsidR="006F45D3" w:rsidRPr="002A012C">
        <w:rPr>
          <w:b/>
          <w:bCs/>
        </w:rPr>
        <w:t>Povolenie vjazdu cyklistom obojsmerne do jednosmern</w:t>
      </w:r>
      <w:r w:rsidR="006F45D3">
        <w:rPr>
          <w:b/>
          <w:bCs/>
        </w:rPr>
        <w:t>ých</w:t>
      </w:r>
      <w:r w:rsidR="006F45D3" w:rsidRPr="002A012C">
        <w:rPr>
          <w:b/>
          <w:bCs/>
        </w:rPr>
        <w:t xml:space="preserve"> komunikáci</w:t>
      </w:r>
      <w:r w:rsidR="006F45D3">
        <w:rPr>
          <w:b/>
          <w:bCs/>
        </w:rPr>
        <w:t>í</w:t>
      </w:r>
      <w:r w:rsidR="006F45D3" w:rsidRPr="002A012C">
        <w:rPr>
          <w:b/>
          <w:bCs/>
        </w:rPr>
        <w:t xml:space="preserve"> </w:t>
      </w:r>
      <w:r w:rsidR="006F45D3" w:rsidRPr="00313879">
        <w:rPr>
          <w:b/>
          <w:bCs/>
        </w:rPr>
        <w:t xml:space="preserve">v centre </w:t>
      </w:r>
      <w:r w:rsidR="006F45D3">
        <w:rPr>
          <w:b/>
          <w:bCs/>
        </w:rPr>
        <w:t>mesta</w:t>
      </w:r>
      <w:r w:rsidR="006F45D3" w:rsidRPr="002A012C">
        <w:rPr>
          <w:b/>
          <w:bCs/>
        </w:rPr>
        <w:t xml:space="preserve"> </w:t>
      </w:r>
      <w:r w:rsidR="006F45D3">
        <w:rPr>
          <w:b/>
          <w:bCs/>
        </w:rPr>
        <w:t>a </w:t>
      </w:r>
      <w:r w:rsidR="006F45D3" w:rsidRPr="00313879">
        <w:rPr>
          <w:b/>
          <w:bCs/>
        </w:rPr>
        <w:t>širšom</w:t>
      </w:r>
      <w:r w:rsidR="006F45D3">
        <w:rPr>
          <w:b/>
          <w:bCs/>
        </w:rPr>
        <w:t xml:space="preserve"> okolí</w:t>
      </w:r>
      <w:r w:rsidR="0083320C">
        <w:rPr>
          <w:b/>
          <w:bCs/>
        </w:rPr>
        <w:t>,</w:t>
      </w:r>
      <w:r w:rsidR="0083320C" w:rsidRPr="0083320C">
        <w:rPr>
          <w:b/>
          <w:bCs/>
        </w:rPr>
        <w:t xml:space="preserve"> </w:t>
      </w:r>
      <w:r w:rsidR="0083320C" w:rsidRPr="001F158B">
        <w:rPr>
          <w:b/>
          <w:bCs/>
        </w:rPr>
        <w:t>projektov</w:t>
      </w:r>
      <w:r w:rsidR="0083320C">
        <w:rPr>
          <w:b/>
          <w:bCs/>
        </w:rPr>
        <w:t>á</w:t>
      </w:r>
      <w:r w:rsidR="0083320C" w:rsidRPr="001F158B">
        <w:rPr>
          <w:b/>
          <w:bCs/>
        </w:rPr>
        <w:t xml:space="preserve"> dokumentáci</w:t>
      </w:r>
      <w:r w:rsidR="0083320C">
        <w:rPr>
          <w:b/>
          <w:bCs/>
        </w:rPr>
        <w:t>a</w:t>
      </w:r>
      <w:r w:rsidR="0083320C" w:rsidRPr="001F158B">
        <w:rPr>
          <w:b/>
          <w:bCs/>
        </w:rPr>
        <w:t xml:space="preserve"> </w:t>
      </w:r>
      <w:r w:rsidR="0083320C">
        <w:rPr>
          <w:b/>
          <w:bCs/>
        </w:rPr>
        <w:t>zmeny organizácie dopravy</w:t>
      </w:r>
    </w:p>
    <w:p w:rsidR="0083320C" w:rsidRPr="0083320C" w:rsidRDefault="0083320C" w:rsidP="00313879">
      <w:pPr>
        <w:shd w:val="clear" w:color="auto" w:fill="FFFFFF"/>
        <w:jc w:val="both"/>
        <w:rPr>
          <w:b/>
          <w:bCs/>
          <w:color w:val="222222"/>
        </w:rPr>
      </w:pPr>
    </w:p>
    <w:p w:rsidR="00313879" w:rsidRPr="005A3FA7" w:rsidRDefault="00313879" w:rsidP="00313879">
      <w:pPr>
        <w:ind w:left="2160" w:hanging="2160"/>
        <w:jc w:val="both"/>
        <w:rPr>
          <w:b/>
          <w:bCs/>
        </w:rPr>
      </w:pPr>
      <w:r w:rsidRPr="005A3FA7">
        <w:rPr>
          <w:b/>
          <w:bCs/>
        </w:rPr>
        <w:t>Úvod:</w:t>
      </w:r>
    </w:p>
    <w:p w:rsidR="00313879" w:rsidRPr="005A3FA7" w:rsidRDefault="000914E9" w:rsidP="00313879">
      <w:pPr>
        <w:spacing w:after="120"/>
        <w:jc w:val="both"/>
      </w:pPr>
      <w:r w:rsidRPr="000914E9">
        <w:t xml:space="preserve">Pre zlepšenie a zjednodušenie pohybu cyklistov v meste a zároveň pre zvýšenie bezpečnosti cestnej premávky s dôrazom na cyklistickú dopravu je nutné zaviesť obojsmerný pohyb cyklistov v </w:t>
      </w:r>
      <w:proofErr w:type="spellStart"/>
      <w:r w:rsidRPr="000914E9">
        <w:t>jednosmerkách</w:t>
      </w:r>
      <w:proofErr w:type="spellEnd"/>
      <w:r w:rsidRPr="000914E9">
        <w:t xml:space="preserve"> v centre mesta</w:t>
      </w:r>
      <w:r>
        <w:t xml:space="preserve"> a širšom okolí.</w:t>
      </w:r>
      <w:r w:rsidRPr="000914E9">
        <w:t xml:space="preserve"> </w:t>
      </w:r>
      <w:r w:rsidRPr="005A3FA7">
        <w:t xml:space="preserve">V súčasnosti </w:t>
      </w:r>
      <w:r>
        <w:t>v Košiciach neexistuje jednosmerná komunikácia, v ktorej by bola povolená</w:t>
      </w:r>
      <w:r w:rsidR="00730250">
        <w:t xml:space="preserve"> obojsmerná</w:t>
      </w:r>
      <w:r>
        <w:t xml:space="preserve"> jazda cyklisto</w:t>
      </w:r>
      <w:r w:rsidR="00730250">
        <w:t>m</w:t>
      </w:r>
      <w:r>
        <w:t>.</w:t>
      </w:r>
    </w:p>
    <w:p w:rsidR="00313879" w:rsidRPr="00D83AD7" w:rsidRDefault="00313879" w:rsidP="00D83AD7">
      <w:pPr>
        <w:spacing w:after="120"/>
        <w:jc w:val="both"/>
        <w:rPr>
          <w:bCs/>
        </w:rPr>
      </w:pPr>
      <w:bookmarkStart w:id="1" w:name="_Hlk33181913"/>
      <w:r w:rsidRPr="00D044A4">
        <w:rPr>
          <w:bCs/>
        </w:rPr>
        <w:t>Cieľom projektu je dopravné posúdenie existujúcich jednosmerných komunikácií v  centre mesta</w:t>
      </w:r>
      <w:r w:rsidR="00D044A4" w:rsidRPr="00D044A4">
        <w:rPr>
          <w:bCs/>
        </w:rPr>
        <w:t xml:space="preserve"> </w:t>
      </w:r>
      <w:r w:rsidR="00D044A4">
        <w:rPr>
          <w:bCs/>
        </w:rPr>
        <w:t>a </w:t>
      </w:r>
      <w:r w:rsidR="00D044A4" w:rsidRPr="00D044A4">
        <w:rPr>
          <w:bCs/>
        </w:rPr>
        <w:t>širšom</w:t>
      </w:r>
      <w:r w:rsidR="00D044A4">
        <w:rPr>
          <w:bCs/>
        </w:rPr>
        <w:t xml:space="preserve"> okolí</w:t>
      </w:r>
      <w:r w:rsidR="000914E9" w:rsidRPr="00D044A4">
        <w:rPr>
          <w:bCs/>
        </w:rPr>
        <w:t xml:space="preserve">, návrh dopravného značenia, ktoré </w:t>
      </w:r>
      <w:r w:rsidRPr="00D044A4">
        <w:rPr>
          <w:bCs/>
        </w:rPr>
        <w:t>povol</w:t>
      </w:r>
      <w:r w:rsidR="000914E9" w:rsidRPr="00D044A4">
        <w:rPr>
          <w:bCs/>
        </w:rPr>
        <w:t>í</w:t>
      </w:r>
      <w:r w:rsidRPr="00D044A4">
        <w:rPr>
          <w:bCs/>
        </w:rPr>
        <w:t xml:space="preserve"> </w:t>
      </w:r>
      <w:r w:rsidR="00730250">
        <w:rPr>
          <w:bCs/>
        </w:rPr>
        <w:t xml:space="preserve">obojsmernú </w:t>
      </w:r>
      <w:r w:rsidRPr="00D044A4">
        <w:rPr>
          <w:bCs/>
        </w:rPr>
        <w:t>jazd</w:t>
      </w:r>
      <w:r w:rsidR="000914E9" w:rsidRPr="00D044A4">
        <w:rPr>
          <w:bCs/>
        </w:rPr>
        <w:t>u</w:t>
      </w:r>
      <w:r w:rsidRPr="00D044A4">
        <w:rPr>
          <w:bCs/>
        </w:rPr>
        <w:t xml:space="preserve"> cyklisto</w:t>
      </w:r>
      <w:r w:rsidR="00730250">
        <w:rPr>
          <w:bCs/>
        </w:rPr>
        <w:t>m</w:t>
      </w:r>
      <w:r w:rsidRPr="00D044A4">
        <w:rPr>
          <w:bCs/>
        </w:rPr>
        <w:t xml:space="preserve"> v</w:t>
      </w:r>
      <w:r w:rsidR="00D044A4">
        <w:rPr>
          <w:bCs/>
        </w:rPr>
        <w:t> </w:t>
      </w:r>
      <w:r w:rsidRPr="00D044A4">
        <w:rPr>
          <w:bCs/>
        </w:rPr>
        <w:t>jednosme</w:t>
      </w:r>
      <w:r w:rsidR="00D044A4">
        <w:rPr>
          <w:bCs/>
        </w:rPr>
        <w:t>rných uliciach</w:t>
      </w:r>
      <w:r w:rsidRPr="00D044A4">
        <w:rPr>
          <w:bCs/>
        </w:rPr>
        <w:t xml:space="preserve">, ktoré </w:t>
      </w:r>
      <w:r w:rsidR="000914E9" w:rsidRPr="00D044A4">
        <w:rPr>
          <w:bCs/>
        </w:rPr>
        <w:t>na to budú vhodné</w:t>
      </w:r>
      <w:r w:rsidRPr="00D044A4">
        <w:rPr>
          <w:bCs/>
        </w:rPr>
        <w:t>.</w:t>
      </w:r>
      <w:r w:rsidR="00F619E1">
        <w:rPr>
          <w:bCs/>
        </w:rPr>
        <w:t xml:space="preserve"> Upokojenie dopravy – Zóna 30 km/hod.</w:t>
      </w:r>
      <w:r w:rsidRPr="00D044A4">
        <w:rPr>
          <w:bCs/>
        </w:rPr>
        <w:t xml:space="preserve"> </w:t>
      </w:r>
    </w:p>
    <w:p w:rsidR="00313879" w:rsidRPr="006F45D3" w:rsidRDefault="00313879" w:rsidP="006F45D3">
      <w:pPr>
        <w:shd w:val="clear" w:color="auto" w:fill="FFFFFF"/>
        <w:jc w:val="both"/>
        <w:rPr>
          <w:color w:val="222222"/>
        </w:rPr>
      </w:pPr>
      <w:bookmarkStart w:id="2" w:name="_Hlk33181762"/>
      <w:bookmarkEnd w:id="1"/>
      <w:r w:rsidRPr="005A3FA7">
        <w:t xml:space="preserve">Predmetom zákazky </w:t>
      </w:r>
      <w:r w:rsidRPr="001F158B">
        <w:rPr>
          <w:bCs/>
        </w:rPr>
        <w:t xml:space="preserve">je </w:t>
      </w:r>
      <w:r w:rsidRPr="001F158B">
        <w:rPr>
          <w:b/>
        </w:rPr>
        <w:t xml:space="preserve">vypracovanie </w:t>
      </w:r>
      <w:r w:rsidR="0069330C" w:rsidRPr="001F158B">
        <w:rPr>
          <w:b/>
        </w:rPr>
        <w:t>p</w:t>
      </w:r>
      <w:r w:rsidR="003E06EB" w:rsidRPr="001F158B">
        <w:rPr>
          <w:b/>
        </w:rPr>
        <w:t xml:space="preserve">rojektovej dokumentácie </w:t>
      </w:r>
      <w:r w:rsidR="0069330C" w:rsidRPr="001F158B">
        <w:rPr>
          <w:b/>
        </w:rPr>
        <w:t>zmen</w:t>
      </w:r>
      <w:r w:rsidR="0083320C">
        <w:rPr>
          <w:b/>
        </w:rPr>
        <w:t>y</w:t>
      </w:r>
      <w:r w:rsidR="0069330C" w:rsidRPr="001F158B">
        <w:rPr>
          <w:b/>
        </w:rPr>
        <w:t xml:space="preserve"> organizácie dopravy</w:t>
      </w:r>
      <w:r w:rsidR="00D044A4" w:rsidRPr="001F158B">
        <w:rPr>
          <w:bCs/>
        </w:rPr>
        <w:t>, osobou</w:t>
      </w:r>
      <w:r w:rsidR="004B3EF3">
        <w:t xml:space="preserve"> </w:t>
      </w:r>
      <w:r w:rsidR="004B3EF3" w:rsidRPr="00EA57FF">
        <w:t>s príslušnou odbornou spôsobilosťou v zmysle platnej legislatívy</w:t>
      </w:r>
      <w:r w:rsidR="00D044A4">
        <w:t>,</w:t>
      </w:r>
      <w:r w:rsidRPr="005A3FA7">
        <w:t xml:space="preserve"> pre realizáciu </w:t>
      </w:r>
      <w:r w:rsidR="0083320C">
        <w:rPr>
          <w:b/>
          <w:bCs/>
        </w:rPr>
        <w:t>p</w:t>
      </w:r>
      <w:r w:rsidR="002A012C" w:rsidRPr="002A012C">
        <w:rPr>
          <w:b/>
          <w:bCs/>
        </w:rPr>
        <w:t>ovoleni</w:t>
      </w:r>
      <w:r w:rsidR="0083320C">
        <w:rPr>
          <w:b/>
          <w:bCs/>
        </w:rPr>
        <w:t>a</w:t>
      </w:r>
      <w:r w:rsidR="002A012C" w:rsidRPr="002A012C">
        <w:rPr>
          <w:b/>
          <w:bCs/>
        </w:rPr>
        <w:t xml:space="preserve"> vjazdu cyklistom obojsmerne do jednosmern</w:t>
      </w:r>
      <w:r w:rsidR="002A012C">
        <w:rPr>
          <w:b/>
          <w:bCs/>
        </w:rPr>
        <w:t>ých</w:t>
      </w:r>
      <w:r w:rsidR="002A012C" w:rsidRPr="002A012C">
        <w:rPr>
          <w:b/>
          <w:bCs/>
        </w:rPr>
        <w:t xml:space="preserve"> komunikáci</w:t>
      </w:r>
      <w:r w:rsidR="002A012C">
        <w:rPr>
          <w:b/>
          <w:bCs/>
        </w:rPr>
        <w:t>í</w:t>
      </w:r>
      <w:r w:rsidR="002A012C" w:rsidRPr="002A012C">
        <w:rPr>
          <w:b/>
          <w:bCs/>
        </w:rPr>
        <w:t xml:space="preserve"> </w:t>
      </w:r>
      <w:r w:rsidR="002A012C" w:rsidRPr="00313879">
        <w:rPr>
          <w:b/>
          <w:bCs/>
        </w:rPr>
        <w:t xml:space="preserve">v centre </w:t>
      </w:r>
      <w:r w:rsidR="002A012C">
        <w:rPr>
          <w:b/>
          <w:bCs/>
        </w:rPr>
        <w:t>mesta</w:t>
      </w:r>
      <w:r w:rsidR="002A012C" w:rsidRPr="002A012C">
        <w:rPr>
          <w:b/>
          <w:bCs/>
        </w:rPr>
        <w:t xml:space="preserve"> </w:t>
      </w:r>
      <w:r w:rsidR="002A012C">
        <w:rPr>
          <w:b/>
          <w:bCs/>
        </w:rPr>
        <w:t>a </w:t>
      </w:r>
      <w:r w:rsidR="002A012C" w:rsidRPr="00313879">
        <w:rPr>
          <w:b/>
          <w:bCs/>
        </w:rPr>
        <w:t>širšom</w:t>
      </w:r>
      <w:r w:rsidR="002A012C">
        <w:rPr>
          <w:b/>
          <w:bCs/>
        </w:rPr>
        <w:t xml:space="preserve"> okolí</w:t>
      </w:r>
      <w:r w:rsidRPr="003E0D43">
        <w:rPr>
          <w:rFonts w:cs="Times New Roman"/>
        </w:rPr>
        <w:t>,</w:t>
      </w:r>
      <w:r w:rsidRPr="005A3FA7">
        <w:rPr>
          <w:rFonts w:cs="Times New Roman"/>
        </w:rPr>
        <w:t xml:space="preserve"> </w:t>
      </w:r>
      <w:r w:rsidR="004B3EF3" w:rsidRPr="00EA57FF">
        <w:t>a je</w:t>
      </w:r>
      <w:r w:rsidR="00252286">
        <w:t>j</w:t>
      </w:r>
      <w:r w:rsidR="004B3EF3" w:rsidRPr="00EA57FF">
        <w:t xml:space="preserve"> </w:t>
      </w:r>
      <w:bookmarkStart w:id="3" w:name="_Hlk23327064"/>
      <w:r w:rsidR="004B3EF3" w:rsidRPr="00EA57FF">
        <w:t>odsúhlasenie príslušným dopravným inšpektorátom</w:t>
      </w:r>
      <w:r w:rsidR="00D044A4">
        <w:rPr>
          <w:rFonts w:cs="Times New Roman"/>
        </w:rPr>
        <w:t>.</w:t>
      </w:r>
      <w:bookmarkEnd w:id="3"/>
      <w:r w:rsidR="00252286" w:rsidRPr="00252286">
        <w:rPr>
          <w:bCs/>
        </w:rPr>
        <w:t xml:space="preserve"> </w:t>
      </w:r>
      <w:r w:rsidR="00252286">
        <w:rPr>
          <w:bCs/>
        </w:rPr>
        <w:t xml:space="preserve">Ak bude pre </w:t>
      </w:r>
      <w:r w:rsidR="00252286" w:rsidRPr="00252286">
        <w:t xml:space="preserve">povolenie vjazdu cyklistom obojsmerne do jednosmerných komunikácií </w:t>
      </w:r>
      <w:r w:rsidR="00252286">
        <w:rPr>
          <w:bCs/>
        </w:rPr>
        <w:t xml:space="preserve">potrebná </w:t>
      </w:r>
      <w:r w:rsidR="0083320C">
        <w:rPr>
          <w:bCs/>
        </w:rPr>
        <w:t>z</w:t>
      </w:r>
      <w:r w:rsidR="00252286">
        <w:rPr>
          <w:bCs/>
        </w:rPr>
        <w:t>mena organizácie parkovania</w:t>
      </w:r>
      <w:r w:rsidR="0083320C">
        <w:rPr>
          <w:bCs/>
        </w:rPr>
        <w:t>,</w:t>
      </w:r>
      <w:r w:rsidR="00252286">
        <w:rPr>
          <w:bCs/>
        </w:rPr>
        <w:t xml:space="preserve"> realizovať ju zachovaním počtu parkovacích miest.</w:t>
      </w:r>
      <w:r w:rsidR="001F158B">
        <w:rPr>
          <w:bCs/>
        </w:rPr>
        <w:t xml:space="preserve"> </w:t>
      </w:r>
      <w:r w:rsidR="001F158B" w:rsidRPr="001D0176">
        <w:rPr>
          <w:bCs/>
        </w:rPr>
        <w:t>Navrhnúť aj prípadné drobné stavebné úpravy (</w:t>
      </w:r>
      <w:r w:rsidR="00F17AFC">
        <w:rPr>
          <w:bCs/>
        </w:rPr>
        <w:t>úprava kanalizačných vpustí</w:t>
      </w:r>
      <w:r w:rsidR="001F158B" w:rsidRPr="001D0176">
        <w:rPr>
          <w:bCs/>
        </w:rPr>
        <w:t>, výpravka krytu komunikácie a pod.)</w:t>
      </w:r>
      <w:r w:rsidR="00FF5463" w:rsidRPr="001D0176">
        <w:rPr>
          <w:bCs/>
        </w:rPr>
        <w:t>.</w:t>
      </w:r>
    </w:p>
    <w:bookmarkEnd w:id="2"/>
    <w:p w:rsidR="00313879" w:rsidRPr="005A3FA7" w:rsidRDefault="00313879" w:rsidP="00313879">
      <w:pPr>
        <w:pStyle w:val="Odsekzoznamu"/>
        <w:ind w:left="0"/>
        <w:jc w:val="both"/>
        <w:rPr>
          <w:b/>
        </w:rPr>
      </w:pPr>
      <w:r w:rsidRPr="005A3FA7">
        <w:rPr>
          <w:b/>
        </w:rPr>
        <w:t>Popis úseku</w:t>
      </w:r>
    </w:p>
    <w:p w:rsidR="00D83AD7" w:rsidRPr="008A0F1B" w:rsidRDefault="00E00BB6" w:rsidP="0082754C">
      <w:pPr>
        <w:jc w:val="both"/>
      </w:pPr>
      <w:bookmarkStart w:id="4" w:name="_Hlk34029990"/>
      <w:r>
        <w:t>Na nasledovných j</w:t>
      </w:r>
      <w:r w:rsidR="008A0F1B">
        <w:t>ednosmer</w:t>
      </w:r>
      <w:r>
        <w:t>ných komunikáciách</w:t>
      </w:r>
      <w:r w:rsidR="008A0F1B">
        <w:t xml:space="preserve"> je </w:t>
      </w:r>
      <w:r w:rsidR="008A0F1B" w:rsidRPr="008A0F1B">
        <w:t xml:space="preserve">potrebné posúdiť </w:t>
      </w:r>
      <w:r w:rsidR="008A0F1B" w:rsidRPr="008A0F1B">
        <w:rPr>
          <w:color w:val="222222"/>
        </w:rPr>
        <w:t xml:space="preserve">povolenie jazdy cyklistov v protismere </w:t>
      </w:r>
      <w:r w:rsidR="008A0F1B" w:rsidRPr="008A0F1B">
        <w:t>a</w:t>
      </w:r>
      <w:r>
        <w:t> </w:t>
      </w:r>
      <w:r w:rsidR="008A0F1B" w:rsidRPr="008A0F1B">
        <w:t>navrhnúť</w:t>
      </w:r>
      <w:r w:rsidR="008A0F1B">
        <w:t xml:space="preserve"> trvalé dopravné značenie</w:t>
      </w:r>
      <w:r>
        <w:t xml:space="preserve"> </w:t>
      </w:r>
      <w:r w:rsidR="003E0D43">
        <w:t xml:space="preserve">vodorovné aj zvislé, </w:t>
      </w:r>
      <w:r>
        <w:t>povoľujúce jazdu cyklistom v protismere</w:t>
      </w:r>
      <w:r w:rsidR="00D83AD7" w:rsidRPr="008A0F1B">
        <w:t>: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r>
        <w:t>Poštová ulica</w:t>
      </w:r>
      <w:r w:rsidR="00673687">
        <w:t xml:space="preserve"> od križovatky </w:t>
      </w:r>
      <w:r w:rsidR="00F95BDD">
        <w:t>s</w:t>
      </w:r>
      <w:r w:rsidR="00673687">
        <w:t> Mäsiarskou po Hradbovú ul.</w:t>
      </w:r>
    </w:p>
    <w:p w:rsidR="00D83AD7" w:rsidRDefault="00284197" w:rsidP="0082754C">
      <w:pPr>
        <w:pStyle w:val="Odsekzoznamu"/>
        <w:numPr>
          <w:ilvl w:val="0"/>
          <w:numId w:val="19"/>
        </w:numPr>
        <w:jc w:val="both"/>
      </w:pPr>
      <w:r>
        <w:t xml:space="preserve">Baštová - </w:t>
      </w:r>
      <w:r w:rsidR="00D83AD7">
        <w:t>Hradbová</w:t>
      </w:r>
      <w:r w:rsidR="00673687">
        <w:t xml:space="preserve"> </w:t>
      </w:r>
      <w:r w:rsidR="00207DAB">
        <w:t>–</w:t>
      </w:r>
      <w:r w:rsidR="00673687">
        <w:t xml:space="preserve"> </w:t>
      </w:r>
      <w:proofErr w:type="spellStart"/>
      <w:r>
        <w:t>Vrátna</w:t>
      </w:r>
      <w:proofErr w:type="spellEnd"/>
      <w:r w:rsidR="00207DAB">
        <w:t xml:space="preserve">: okrem povolenia jazdy cyklistom v protismere, riešiť aj povolenie jazdy cyklistov do zákazu vjazdu v úseku </w:t>
      </w:r>
      <w:proofErr w:type="spellStart"/>
      <w:r w:rsidR="00207DAB">
        <w:t>Vrátna</w:t>
      </w:r>
      <w:proofErr w:type="spellEnd"/>
      <w:r w:rsidR="00207DAB">
        <w:t xml:space="preserve">  od Dominikánskeho námestia po Alžbetinu </w:t>
      </w:r>
    </w:p>
    <w:p w:rsidR="00284197" w:rsidRDefault="00284197" w:rsidP="0082754C">
      <w:pPr>
        <w:pStyle w:val="Odsekzoznamu"/>
        <w:numPr>
          <w:ilvl w:val="0"/>
          <w:numId w:val="19"/>
        </w:numPr>
        <w:jc w:val="both"/>
      </w:pPr>
      <w:r>
        <w:t xml:space="preserve">Bočná -  </w:t>
      </w:r>
      <w:proofErr w:type="spellStart"/>
      <w:r>
        <w:t>Vrátna</w:t>
      </w:r>
      <w:proofErr w:type="spellEnd"/>
      <w:r>
        <w:t xml:space="preserve"> 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proofErr w:type="spellStart"/>
      <w:r>
        <w:t>Zbrojničná</w:t>
      </w:r>
      <w:proofErr w:type="spellEnd"/>
      <w:r>
        <w:t xml:space="preserve"> – Kasárenské námestie</w:t>
      </w:r>
    </w:p>
    <w:p w:rsidR="00673687" w:rsidRDefault="00284197" w:rsidP="0082754C">
      <w:pPr>
        <w:pStyle w:val="Odsekzoznamu"/>
        <w:numPr>
          <w:ilvl w:val="0"/>
          <w:numId w:val="19"/>
        </w:numPr>
        <w:jc w:val="both"/>
      </w:pPr>
      <w:r>
        <w:t xml:space="preserve">Kasárenské námestie – Štefánikova – </w:t>
      </w:r>
      <w:r w:rsidR="00673687">
        <w:t>Mlynská</w:t>
      </w:r>
      <w:r w:rsidR="0082754C">
        <w:t>: okrem povolenia jazdy cyklistom v protismere, riešiť aj povolenie jazdy cyklistov po moste smerom na hlavnú stanicu ako spoločná cestička pre peších a cyklistov</w:t>
      </w:r>
    </w:p>
    <w:p w:rsidR="005411BA" w:rsidRDefault="005411BA" w:rsidP="0082754C">
      <w:pPr>
        <w:pStyle w:val="Odsekzoznamu"/>
        <w:numPr>
          <w:ilvl w:val="0"/>
          <w:numId w:val="19"/>
        </w:numPr>
        <w:jc w:val="both"/>
      </w:pPr>
      <w:r>
        <w:t xml:space="preserve">Kováčska </w:t>
      </w:r>
      <w:r w:rsidR="00284197">
        <w:t>–</w:t>
      </w:r>
      <w:r>
        <w:t xml:space="preserve"> Vodná</w:t>
      </w:r>
      <w:r w:rsidR="00284197">
        <w:t xml:space="preserve"> </w:t>
      </w:r>
      <w:r w:rsidR="00F619E1">
        <w:t>–</w:t>
      </w:r>
      <w:r w:rsidR="00284197">
        <w:t xml:space="preserve"> </w:t>
      </w:r>
      <w:proofErr w:type="spellStart"/>
      <w:r w:rsidR="00284197">
        <w:t>Rumanova</w:t>
      </w:r>
      <w:proofErr w:type="spellEnd"/>
      <w:r w:rsidR="0082754C">
        <w:t xml:space="preserve">: okrem povolenia jazdy cyklistom v protismere, riešiť aj </w:t>
      </w:r>
      <w:r w:rsidR="00F619E1">
        <w:t>povol</w:t>
      </w:r>
      <w:r w:rsidR="0082754C">
        <w:t>enie</w:t>
      </w:r>
      <w:r w:rsidR="00F619E1">
        <w:t xml:space="preserve"> vjazd</w:t>
      </w:r>
      <w:r w:rsidR="0082754C">
        <w:t>u</w:t>
      </w:r>
      <w:r w:rsidR="00F619E1">
        <w:t xml:space="preserve"> cyklistom do zákazu vjazdu</w:t>
      </w:r>
    </w:p>
    <w:p w:rsidR="00284197" w:rsidRDefault="00284197" w:rsidP="0082754C">
      <w:pPr>
        <w:pStyle w:val="Odsekzoznamu"/>
        <w:numPr>
          <w:ilvl w:val="0"/>
          <w:numId w:val="19"/>
        </w:numPr>
        <w:jc w:val="both"/>
      </w:pPr>
      <w:proofErr w:type="spellStart"/>
      <w:r>
        <w:t>Gorkého</w:t>
      </w:r>
      <w:proofErr w:type="spellEnd"/>
      <w:r>
        <w:t xml:space="preserve"> - Strojárenská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r>
        <w:t>Jesenná</w:t>
      </w:r>
      <w:r w:rsidR="0061200C">
        <w:t xml:space="preserve"> - cez </w:t>
      </w:r>
      <w:proofErr w:type="spellStart"/>
      <w:r w:rsidR="0061200C">
        <w:t>Hvozdíkov</w:t>
      </w:r>
      <w:proofErr w:type="spellEnd"/>
      <w:r w:rsidR="0061200C">
        <w:t xml:space="preserve"> park </w:t>
      </w:r>
      <w:r w:rsidR="00F619E1">
        <w:t xml:space="preserve">(tu vyznačiť spoločnú cestičku pre chodcov a cyklistov) </w:t>
      </w:r>
      <w:r w:rsidR="00284197">
        <w:t xml:space="preserve">- </w:t>
      </w:r>
      <w:r w:rsidR="0061200C">
        <w:t xml:space="preserve">Park Angelinum - </w:t>
      </w:r>
      <w:r>
        <w:t>Jilemnického</w:t>
      </w:r>
    </w:p>
    <w:p w:rsidR="00D83AD7" w:rsidRDefault="00D83AD7" w:rsidP="0082754C">
      <w:pPr>
        <w:pStyle w:val="Odsekzoznamu"/>
        <w:numPr>
          <w:ilvl w:val="0"/>
          <w:numId w:val="19"/>
        </w:numPr>
        <w:jc w:val="both"/>
      </w:pPr>
      <w:r>
        <w:lastRenderedPageBreak/>
        <w:t>Park Angelinum</w:t>
      </w:r>
      <w:r w:rsidR="0061200C">
        <w:t xml:space="preserve"> - Komenského</w:t>
      </w:r>
    </w:p>
    <w:p w:rsidR="003E0D43" w:rsidRPr="003E0D43" w:rsidRDefault="003E0D43" w:rsidP="0082754C">
      <w:pPr>
        <w:pStyle w:val="Odsekzoznamu"/>
        <w:numPr>
          <w:ilvl w:val="0"/>
          <w:numId w:val="19"/>
        </w:numPr>
        <w:jc w:val="both"/>
      </w:pPr>
      <w:proofErr w:type="spellStart"/>
      <w:r w:rsidRPr="003E0D43">
        <w:t>Kukučínová</w:t>
      </w:r>
      <w:proofErr w:type="spellEnd"/>
      <w:r w:rsidRPr="003E0D43">
        <w:t xml:space="preserve"> – Rázusová</w:t>
      </w:r>
    </w:p>
    <w:p w:rsidR="003E0D43" w:rsidRPr="003E0D43" w:rsidRDefault="003E0D43" w:rsidP="0082754C">
      <w:pPr>
        <w:pStyle w:val="Odsekzoznamu"/>
        <w:numPr>
          <w:ilvl w:val="0"/>
          <w:numId w:val="19"/>
        </w:numPr>
        <w:jc w:val="both"/>
      </w:pPr>
      <w:r w:rsidRPr="003E0D43">
        <w:t xml:space="preserve">Rázusová - Skladná </w:t>
      </w:r>
    </w:p>
    <w:p w:rsidR="00E00BB6" w:rsidRDefault="00D83AD7" w:rsidP="00E00BB6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</w:pPr>
      <w:r w:rsidRPr="00216ED9">
        <w:t>Pribinova </w:t>
      </w:r>
      <w:r w:rsidR="00E00BB6">
        <w:t>–</w:t>
      </w:r>
      <w:r w:rsidR="00216ED9" w:rsidRPr="00216ED9">
        <w:t xml:space="preserve"> </w:t>
      </w:r>
      <w:proofErr w:type="spellStart"/>
      <w:r w:rsidRPr="00216ED9">
        <w:t>Grešáková</w:t>
      </w:r>
      <w:proofErr w:type="spellEnd"/>
    </w:p>
    <w:p w:rsidR="00F619E1" w:rsidRDefault="00F619E1" w:rsidP="00E00BB6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</w:pPr>
      <w:proofErr w:type="spellStart"/>
      <w:r>
        <w:t>Mánesová</w:t>
      </w:r>
      <w:proofErr w:type="spellEnd"/>
      <w:r>
        <w:t xml:space="preserve"> – Havlíčkova a Komenského – Havlíčkova</w:t>
      </w:r>
      <w:bookmarkEnd w:id="4"/>
    </w:p>
    <w:p w:rsidR="00E042C7" w:rsidRDefault="00E042C7" w:rsidP="00E00BB6">
      <w:pPr>
        <w:shd w:val="clear" w:color="auto" w:fill="FFFFFF"/>
        <w:spacing w:after="0" w:line="240" w:lineRule="auto"/>
        <w:rPr>
          <w:b/>
          <w:bCs/>
        </w:rPr>
      </w:pPr>
    </w:p>
    <w:p w:rsidR="00313879" w:rsidRPr="00E00BB6" w:rsidRDefault="00313879" w:rsidP="00E00BB6">
      <w:pPr>
        <w:shd w:val="clear" w:color="auto" w:fill="FFFFFF"/>
        <w:spacing w:after="0" w:line="240" w:lineRule="auto"/>
      </w:pPr>
      <w:r w:rsidRPr="00E00BB6">
        <w:rPr>
          <w:b/>
          <w:bCs/>
        </w:rPr>
        <w:t>Opis služby:</w:t>
      </w:r>
    </w:p>
    <w:p w:rsidR="00706AC2" w:rsidRPr="008307AF" w:rsidRDefault="00706AC2" w:rsidP="00706AC2">
      <w:pPr>
        <w:jc w:val="both"/>
        <w:rPr>
          <w:b/>
          <w:bCs/>
        </w:rPr>
      </w:pPr>
      <w:r w:rsidRPr="008307AF">
        <w:rPr>
          <w:b/>
          <w:bCs/>
        </w:rPr>
        <w:t xml:space="preserve">Jazda cyklistov v jednosmerných komunikáciách </w:t>
      </w:r>
    </w:p>
    <w:p w:rsidR="00706AC2" w:rsidRDefault="00706AC2" w:rsidP="00706AC2">
      <w:pPr>
        <w:jc w:val="both"/>
      </w:pPr>
      <w:r>
        <w:t xml:space="preserve">Pre povolenie jazdy cyklistov v protismere sa použije kombinácie dopravných značiek Zákaz vjazdu všetkých vozidiel (B 2) s dodatkovou tabuľkou Jazda cyklistom v protismere povolená (E 16b). Pre informovanie účastníkov cestnej premávky sa na opačnú stranu jednosmernej ulice pod dopravnú značku Jednosmerná premávka (IP 3b) umiestni dodatková tabuľka Jazda cyklistov v oboch smeroch povolená (E 16c). Pred jednosmernou ulicou je možné použiť kombináciu dopravných značiek Prikázaný smer jazdy vpravo s dodatkovou tabuľkou Povolený smer jazdy cyklistov (C 2+E 16a) alebo kombináciu značiek Zákaz odbočenia s dodatkovou tabuľkou E 12 s piktogramom bicykla. Tieto značky slúžia pre informovanie cyklistov, že majú povolený vjazd do jednosmernej komunikácie. </w:t>
      </w:r>
      <w:r>
        <w:rPr>
          <w:noProof/>
          <w:lang w:eastAsia="sk-SK"/>
        </w:rPr>
        <w:drawing>
          <wp:inline distT="0" distB="0" distL="0" distR="0">
            <wp:extent cx="2800350" cy="158115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AC2" w:rsidRPr="007419EE" w:rsidRDefault="00706AC2" w:rsidP="00706AC2">
      <w:pPr>
        <w:jc w:val="both"/>
        <w:rPr>
          <w:b/>
          <w:bCs/>
        </w:rPr>
      </w:pPr>
      <w:r w:rsidRPr="007419EE">
        <w:rPr>
          <w:b/>
          <w:bCs/>
        </w:rPr>
        <w:t xml:space="preserve">Jednosmerné komunikácie s obojsmernou jazdou cyklistov </w:t>
      </w:r>
    </w:p>
    <w:p w:rsidR="00706AC2" w:rsidRDefault="00706AC2" w:rsidP="00706AC2">
      <w:pPr>
        <w:jc w:val="both"/>
      </w:pPr>
      <w:r>
        <w:t xml:space="preserve">Na jednosmerných komunikáciách s povolením jazdy cyklistov obojsmerne zakázať parkovanie vozidiel nad 1,5 t. V prípade umiestnenia prefabrikovaného spomaľovacieho prahu pre vozidlá, je nutné </w:t>
      </w:r>
      <w:r w:rsidR="00BA26B7">
        <w:t>navrhnúť úpravu spomaľovacieho prahu, tak aby vznikol</w:t>
      </w:r>
      <w:r>
        <w:t xml:space="preserve"> dostatočný priestor pre jazdu cyklistu. V prípade smerových oblúkov je nutné zabezpečiť dobrú viditeľnosť medzi vodičom a cyklistom. Rizikové môžu byť oblúky umožňujúce vozidlám ísť vysokou rýchlosťou, parkujúce vozidlá alebo zeleň. V týchto prípadoch </w:t>
      </w:r>
      <w:r w:rsidR="003F48B5">
        <w:t>požadujeme</w:t>
      </w:r>
      <w:r>
        <w:t xml:space="preserve"> zamedziť rýchlemu prejazdu vozidiel pomocou rôznych opatrení. </w:t>
      </w:r>
    </w:p>
    <w:p w:rsidR="00706AC2" w:rsidRDefault="003F48B5" w:rsidP="00706AC2">
      <w:pPr>
        <w:jc w:val="both"/>
      </w:pPr>
      <w:r>
        <w:t>Do projektu dopravného značenia zahrnúť aj dopravného značenia IP 30</w:t>
      </w:r>
      <w:r w:rsidR="00BA26B7">
        <w:t xml:space="preserve"> </w:t>
      </w:r>
      <w:r>
        <w:t>“Zmena organizácie dopravy” po dobu 3 mesiacov, p</w:t>
      </w:r>
      <w:r w:rsidR="00706AC2">
        <w:t xml:space="preserve">re </w:t>
      </w:r>
      <w:r>
        <w:t xml:space="preserve">lepšiu informovanosť vodičov a zvýšenie bezpečnosti, v každej </w:t>
      </w:r>
      <w:r w:rsidR="00706AC2">
        <w:t>jednosmer</w:t>
      </w:r>
      <w:r w:rsidR="004B7E67">
        <w:t>nej</w:t>
      </w:r>
      <w:r w:rsidR="00706AC2">
        <w:t xml:space="preserve"> komunikáci</w:t>
      </w:r>
      <w:r w:rsidR="004B7E67">
        <w:t xml:space="preserve">í </w:t>
      </w:r>
      <w:r w:rsidR="00706AC2">
        <w:t>s</w:t>
      </w:r>
      <w:r w:rsidR="004B7E67">
        <w:t xml:space="preserve"> povolenou </w:t>
      </w:r>
      <w:r w:rsidR="00706AC2">
        <w:t>obojsmernou jazdou cyklistov</w:t>
      </w:r>
      <w:r>
        <w:t>.</w:t>
      </w:r>
      <w:r w:rsidR="00706AC2">
        <w:t xml:space="preserve"> </w:t>
      </w:r>
    </w:p>
    <w:p w:rsidR="00706AC2" w:rsidRDefault="00706AC2" w:rsidP="004B7E67">
      <w:pPr>
        <w:jc w:val="both"/>
      </w:pPr>
      <w:r>
        <w:t>Ak je cez jednosmernú komunikáciu vedený priechod pre chodcov, priechod označ</w:t>
      </w:r>
      <w:r w:rsidR="004B7E67">
        <w:t>iť</w:t>
      </w:r>
      <w:r>
        <w:t xml:space="preserve"> dopravnou značkou IP 6 na oboch stranách komunikácie</w:t>
      </w:r>
      <w:r w:rsidR="004B7E67">
        <w:t xml:space="preserve"> a </w:t>
      </w:r>
      <w:r>
        <w:t xml:space="preserve">podfarbiť červenou farbou. </w:t>
      </w:r>
    </w:p>
    <w:p w:rsidR="00706AC2" w:rsidRDefault="00706AC2" w:rsidP="00706AC2">
      <w:pPr>
        <w:jc w:val="both"/>
      </w:pPr>
      <w:r>
        <w:t>Odporúča sa z hľadiska bezpečnosti, aby bola upravená aj rýchlosť cyklistu na maximálne 20 km/h.</w:t>
      </w:r>
    </w:p>
    <w:p w:rsidR="00244263" w:rsidRPr="00244263" w:rsidRDefault="00244263" w:rsidP="00244263">
      <w:pPr>
        <w:spacing w:after="0"/>
        <w:jc w:val="both"/>
      </w:pPr>
      <w:r w:rsidRPr="00244263">
        <w:t>Pre návrh riešenia protismernej jazdy cyklistu v jednosmernej komunikácii je potrebné poznať intenzit</w:t>
      </w:r>
      <w:r w:rsidR="00735F5B">
        <w:t>u</w:t>
      </w:r>
      <w:r w:rsidRPr="00244263">
        <w:t xml:space="preserve"> vozidiel. Na nižšie vymenovaných uliciach predpokladáme, že intenzita vozidiel nie je väčšia ako 400 voz/h:</w:t>
      </w:r>
    </w:p>
    <w:p w:rsidR="00244263" w:rsidRPr="00244263" w:rsidRDefault="00244263" w:rsidP="00735F5B">
      <w:pPr>
        <w:pStyle w:val="Odsekzoznamu"/>
        <w:numPr>
          <w:ilvl w:val="0"/>
          <w:numId w:val="35"/>
        </w:numPr>
        <w:spacing w:after="0"/>
      </w:pPr>
      <w:r w:rsidRPr="00244263">
        <w:t xml:space="preserve">Kováčska </w:t>
      </w:r>
      <w:r w:rsidR="008E20D1">
        <w:t>–</w:t>
      </w:r>
      <w:r w:rsidRPr="00244263">
        <w:t xml:space="preserve"> Vodná</w:t>
      </w:r>
      <w:r w:rsidR="008E20D1">
        <w:t>,</w:t>
      </w:r>
    </w:p>
    <w:p w:rsidR="00244263" w:rsidRPr="00244263" w:rsidRDefault="003E0D43" w:rsidP="00735F5B">
      <w:pPr>
        <w:pStyle w:val="Odsekzoznamu"/>
        <w:numPr>
          <w:ilvl w:val="0"/>
          <w:numId w:val="35"/>
        </w:numPr>
        <w:spacing w:after="0"/>
      </w:pPr>
      <w:r w:rsidRPr="00244263">
        <w:t xml:space="preserve">Bočná </w:t>
      </w:r>
      <w:r>
        <w:t xml:space="preserve">- </w:t>
      </w:r>
      <w:proofErr w:type="spellStart"/>
      <w:r w:rsidR="00244263" w:rsidRPr="00244263">
        <w:t>Vrátna</w:t>
      </w:r>
      <w:proofErr w:type="spellEnd"/>
      <w:r w:rsidR="008E20D1">
        <w:t>,</w:t>
      </w:r>
    </w:p>
    <w:p w:rsidR="00244263" w:rsidRPr="00244263" w:rsidRDefault="00244263" w:rsidP="003E0D43">
      <w:pPr>
        <w:pStyle w:val="Odsekzoznamu"/>
        <w:numPr>
          <w:ilvl w:val="0"/>
          <w:numId w:val="35"/>
        </w:numPr>
        <w:spacing w:after="0"/>
      </w:pPr>
      <w:r w:rsidRPr="00244263">
        <w:t>Jesenná -</w:t>
      </w:r>
      <w:r w:rsidR="003E0D43">
        <w:t xml:space="preserve"> </w:t>
      </w:r>
      <w:r w:rsidRPr="00244263">
        <w:t>Park Angelinum – Jilemnického</w:t>
      </w:r>
      <w:r w:rsidR="008E20D1">
        <w:t>,</w:t>
      </w:r>
    </w:p>
    <w:p w:rsidR="00244263" w:rsidRPr="00244263" w:rsidRDefault="00244263" w:rsidP="00735F5B">
      <w:pPr>
        <w:pStyle w:val="Odsekzoznamu"/>
        <w:numPr>
          <w:ilvl w:val="0"/>
          <w:numId w:val="35"/>
        </w:numPr>
        <w:spacing w:after="0"/>
      </w:pPr>
      <w:r w:rsidRPr="00244263">
        <w:lastRenderedPageBreak/>
        <w:t>Park Angelinum – Komenského</w:t>
      </w:r>
      <w:r w:rsidR="008E20D1">
        <w:t>,</w:t>
      </w:r>
    </w:p>
    <w:p w:rsidR="003E0D43" w:rsidRPr="003E0D43" w:rsidRDefault="003E0D43" w:rsidP="003E0D43">
      <w:pPr>
        <w:pStyle w:val="Odsekzoznamu"/>
        <w:numPr>
          <w:ilvl w:val="0"/>
          <w:numId w:val="35"/>
        </w:numPr>
      </w:pPr>
      <w:proofErr w:type="spellStart"/>
      <w:r w:rsidRPr="003E0D43">
        <w:t>Kukučínová</w:t>
      </w:r>
      <w:proofErr w:type="spellEnd"/>
      <w:r w:rsidRPr="003E0D43">
        <w:t xml:space="preserve"> – Rázusová</w:t>
      </w:r>
    </w:p>
    <w:p w:rsidR="003E0D43" w:rsidRDefault="003E0D43" w:rsidP="003E0D43">
      <w:pPr>
        <w:pStyle w:val="Odsekzoznamu"/>
        <w:numPr>
          <w:ilvl w:val="0"/>
          <w:numId w:val="35"/>
        </w:numPr>
      </w:pPr>
      <w:r w:rsidRPr="003E0D43">
        <w:t xml:space="preserve">Rázusová - Skladná </w:t>
      </w:r>
    </w:p>
    <w:p w:rsidR="00244263" w:rsidRPr="00244263" w:rsidRDefault="00244263" w:rsidP="003E0D43">
      <w:pPr>
        <w:pStyle w:val="Odsekzoznamu"/>
        <w:numPr>
          <w:ilvl w:val="0"/>
          <w:numId w:val="35"/>
        </w:numPr>
      </w:pPr>
      <w:r w:rsidRPr="00244263">
        <w:t xml:space="preserve">Pribinova – </w:t>
      </w:r>
      <w:proofErr w:type="spellStart"/>
      <w:r w:rsidRPr="00244263">
        <w:t>Grešáková</w:t>
      </w:r>
      <w:proofErr w:type="spellEnd"/>
      <w:r w:rsidR="008E20D1">
        <w:t>,</w:t>
      </w:r>
    </w:p>
    <w:p w:rsidR="00244263" w:rsidRPr="00244263" w:rsidRDefault="00735F5B" w:rsidP="00735F5B">
      <w:pPr>
        <w:pStyle w:val="Odsekzoznamu"/>
        <w:numPr>
          <w:ilvl w:val="0"/>
          <w:numId w:val="35"/>
        </w:numPr>
        <w:spacing w:after="0"/>
      </w:pPr>
      <w:bookmarkStart w:id="5" w:name="_Hlk25146783"/>
      <w:proofErr w:type="spellStart"/>
      <w:r>
        <w:t>Mánesová</w:t>
      </w:r>
      <w:proofErr w:type="spellEnd"/>
      <w:r>
        <w:t xml:space="preserve"> – Havlíčkova a Komenského – Havlíčkova</w:t>
      </w:r>
      <w:bookmarkEnd w:id="5"/>
      <w:r w:rsidR="008E20D1">
        <w:t>.</w:t>
      </w:r>
    </w:p>
    <w:p w:rsidR="00244263" w:rsidRDefault="00244263" w:rsidP="00244263">
      <w:pPr>
        <w:pStyle w:val="Odsekzoznamu"/>
        <w:spacing w:after="0"/>
        <w:rPr>
          <w:b/>
          <w:bCs/>
        </w:rPr>
      </w:pPr>
    </w:p>
    <w:p w:rsidR="002E47DD" w:rsidRPr="0068158F" w:rsidRDefault="00244263" w:rsidP="0068158F">
      <w:pPr>
        <w:pStyle w:val="Odsekzoznamu"/>
        <w:numPr>
          <w:ilvl w:val="0"/>
          <w:numId w:val="16"/>
        </w:numPr>
        <w:spacing w:after="200" w:line="276" w:lineRule="auto"/>
        <w:jc w:val="both"/>
        <w:rPr>
          <w:b/>
        </w:rPr>
      </w:pPr>
      <w:r w:rsidRPr="00B52406">
        <w:rPr>
          <w:b/>
          <w:bCs/>
        </w:rPr>
        <w:t xml:space="preserve">Na nasledovných </w:t>
      </w:r>
      <w:r w:rsidR="00547B1F" w:rsidRPr="001F158B">
        <w:rPr>
          <w:b/>
          <w:bCs/>
        </w:rPr>
        <w:t>4</w:t>
      </w:r>
      <w:r w:rsidR="00735F5B" w:rsidRPr="001F158B">
        <w:rPr>
          <w:b/>
          <w:bCs/>
        </w:rPr>
        <w:t>.</w:t>
      </w:r>
      <w:r w:rsidR="00735F5B" w:rsidRPr="00B52406">
        <w:rPr>
          <w:b/>
          <w:bCs/>
        </w:rPr>
        <w:t xml:space="preserve"> </w:t>
      </w:r>
      <w:r w:rsidRPr="00B52406">
        <w:rPr>
          <w:b/>
          <w:bCs/>
        </w:rPr>
        <w:t>jednosmerných uliciach</w:t>
      </w:r>
      <w:r w:rsidRPr="00B52406">
        <w:t xml:space="preserve"> </w:t>
      </w:r>
      <w:r w:rsidR="00547B1F">
        <w:t xml:space="preserve">(stanovištia pre sčítanie viď Príloha č. </w:t>
      </w:r>
      <w:r w:rsidR="00B10C1A">
        <w:t>5</w:t>
      </w:r>
      <w:r w:rsidR="00547B1F">
        <w:t xml:space="preserve"> </w:t>
      </w:r>
      <w:bookmarkStart w:id="6" w:name="_Hlk33183393"/>
      <w:r w:rsidR="00547B1F" w:rsidRPr="007B7E6F">
        <w:t>Jednotlivé jednosmerné komunikácie</w:t>
      </w:r>
      <w:bookmarkEnd w:id="6"/>
      <w:r w:rsidR="00547B1F">
        <w:t xml:space="preserve">) </w:t>
      </w:r>
      <w:r w:rsidRPr="00B52406">
        <w:t xml:space="preserve">je potrebné </w:t>
      </w:r>
      <w:r w:rsidRPr="00B52406">
        <w:rPr>
          <w:b/>
          <w:bCs/>
        </w:rPr>
        <w:t>z</w:t>
      </w:r>
      <w:r w:rsidR="0058397F" w:rsidRPr="00B52406">
        <w:rPr>
          <w:b/>
          <w:bCs/>
        </w:rPr>
        <w:t xml:space="preserve">realizovať </w:t>
      </w:r>
      <w:r w:rsidR="002E47DD" w:rsidRPr="00B52406">
        <w:rPr>
          <w:b/>
          <w:bCs/>
        </w:rPr>
        <w:t>profilové sčítanie dopravy</w:t>
      </w:r>
      <w:r w:rsidR="002E47DD" w:rsidRPr="00B52406">
        <w:t xml:space="preserve"> v čase od 6:00 – 18:00 hod</w:t>
      </w:r>
      <w:r w:rsidR="00735F5B" w:rsidRPr="00B52406">
        <w:t xml:space="preserve"> </w:t>
      </w:r>
      <w:r w:rsidR="00B52406" w:rsidRPr="00B52406">
        <w:t>v</w:t>
      </w:r>
      <w:r w:rsidR="00FF5463">
        <w:t xml:space="preserve"> bežný </w:t>
      </w:r>
      <w:r w:rsidR="00B52406" w:rsidRPr="00B52406">
        <w:t>pracovný deň</w:t>
      </w:r>
      <w:r w:rsidR="00B52406">
        <w:t>,</w:t>
      </w:r>
      <w:r w:rsidR="001F158B">
        <w:t xml:space="preserve"> mimo školských prázdnin,</w:t>
      </w:r>
      <w:r w:rsidR="00B52406" w:rsidRPr="00B52406">
        <w:t xml:space="preserve"> </w:t>
      </w:r>
      <w:r w:rsidR="00B52406">
        <w:t xml:space="preserve">ako podklad </w:t>
      </w:r>
      <w:r w:rsidR="00735F5B">
        <w:t>p</w:t>
      </w:r>
      <w:r w:rsidR="00735F5B" w:rsidRPr="00244263">
        <w:t>re návrh riešenia protismernej jazdy cyklistu v jednosmernej komunikácii</w:t>
      </w:r>
      <w:r w:rsidR="00D91BA2">
        <w:t xml:space="preserve">. Zistiť </w:t>
      </w:r>
      <w:r w:rsidR="00D425F2">
        <w:t>i</w:t>
      </w:r>
      <w:r w:rsidR="00D91BA2">
        <w:t>ntenzit</w:t>
      </w:r>
      <w:r w:rsidR="00D425F2">
        <w:t>u</w:t>
      </w:r>
      <w:r w:rsidR="00D91BA2">
        <w:t xml:space="preserve"> </w:t>
      </w:r>
      <w:r w:rsidR="0068158F">
        <w:t xml:space="preserve"> motorovej </w:t>
      </w:r>
      <w:r w:rsidR="00D91BA2">
        <w:t>dopravy</w:t>
      </w:r>
      <w:r w:rsidR="00D425F2">
        <w:t xml:space="preserve"> </w:t>
      </w:r>
      <w:r w:rsidR="00B12169">
        <w:t>na uliciach</w:t>
      </w:r>
      <w:r w:rsidR="00735F5B" w:rsidRPr="0068158F">
        <w:rPr>
          <w:b/>
          <w:bCs/>
        </w:rPr>
        <w:t>:</w:t>
      </w:r>
    </w:p>
    <w:p w:rsidR="002E47DD" w:rsidRDefault="002E47DD" w:rsidP="0068158F">
      <w:pPr>
        <w:pStyle w:val="Odsekzoznamu"/>
        <w:numPr>
          <w:ilvl w:val="0"/>
          <w:numId w:val="36"/>
        </w:numPr>
        <w:ind w:left="1134"/>
      </w:pPr>
      <w:r>
        <w:t xml:space="preserve">Poštová </w:t>
      </w:r>
      <w:r w:rsidR="0080414D">
        <w:t>(</w:t>
      </w:r>
      <w:r>
        <w:t>od križovatky z Mäsiarskou po Hradbovú</w:t>
      </w:r>
      <w:r w:rsidR="0080414D">
        <w:t xml:space="preserve">) - </w:t>
      </w:r>
      <w:r>
        <w:t xml:space="preserve">Hradbová </w:t>
      </w:r>
      <w:r w:rsidR="00244263">
        <w:t>–</w:t>
      </w:r>
      <w:r>
        <w:t xml:space="preserve"> Baštová</w:t>
      </w:r>
      <w:r w:rsidR="008E20D1">
        <w:t>,</w:t>
      </w:r>
    </w:p>
    <w:p w:rsidR="00244263" w:rsidRDefault="00244263" w:rsidP="0068158F">
      <w:pPr>
        <w:pStyle w:val="Odsekzoznamu"/>
        <w:numPr>
          <w:ilvl w:val="0"/>
          <w:numId w:val="36"/>
        </w:numPr>
        <w:ind w:left="1134"/>
      </w:pPr>
      <w:proofErr w:type="spellStart"/>
      <w:r>
        <w:t>Zbrojničná</w:t>
      </w:r>
      <w:proofErr w:type="spellEnd"/>
      <w:r>
        <w:t xml:space="preserve"> – Kasárenské námestie</w:t>
      </w:r>
      <w:r w:rsidR="008E20D1">
        <w:t>,</w:t>
      </w:r>
    </w:p>
    <w:p w:rsidR="002E47DD" w:rsidRDefault="002E47DD" w:rsidP="0068158F">
      <w:pPr>
        <w:pStyle w:val="Odsekzoznamu"/>
        <w:numPr>
          <w:ilvl w:val="0"/>
          <w:numId w:val="36"/>
        </w:numPr>
        <w:ind w:left="1134"/>
      </w:pPr>
      <w:r>
        <w:t>Štefániková</w:t>
      </w:r>
      <w:r w:rsidR="008E20D1">
        <w:t>,</w:t>
      </w:r>
    </w:p>
    <w:p w:rsidR="002E47DD" w:rsidRDefault="00735F5B" w:rsidP="0068158F">
      <w:pPr>
        <w:pStyle w:val="Odsekzoznamu"/>
        <w:numPr>
          <w:ilvl w:val="0"/>
          <w:numId w:val="36"/>
        </w:numPr>
        <w:ind w:left="1134"/>
      </w:pPr>
      <w:proofErr w:type="spellStart"/>
      <w:r>
        <w:t>Gorké</w:t>
      </w:r>
      <w:r w:rsidR="00D91BA2">
        <w:t>h</w:t>
      </w:r>
      <w:r>
        <w:t>o</w:t>
      </w:r>
      <w:proofErr w:type="spellEnd"/>
      <w:r>
        <w:t>-</w:t>
      </w:r>
      <w:r w:rsidR="002E47DD">
        <w:t>Strojárenská</w:t>
      </w:r>
      <w:r w:rsidR="008E20D1">
        <w:t>.</w:t>
      </w:r>
    </w:p>
    <w:p w:rsidR="002E47DD" w:rsidRDefault="002E47DD" w:rsidP="00A27BDB">
      <w:pPr>
        <w:spacing w:after="0"/>
        <w:rPr>
          <w:b/>
          <w:bCs/>
        </w:rPr>
      </w:pPr>
    </w:p>
    <w:p w:rsidR="008A0F1B" w:rsidRPr="002E47DD" w:rsidRDefault="004B7E67" w:rsidP="00B12169">
      <w:pPr>
        <w:spacing w:after="0"/>
        <w:jc w:val="both"/>
        <w:rPr>
          <w:b/>
          <w:bCs/>
        </w:rPr>
      </w:pPr>
      <w:r w:rsidRPr="0046487C">
        <w:t>Na základe m</w:t>
      </w:r>
      <w:r w:rsidR="00A27BDB" w:rsidRPr="0046487C">
        <w:t>era</w:t>
      </w:r>
      <w:r w:rsidR="00C06564" w:rsidRPr="0046487C">
        <w:t>ni</w:t>
      </w:r>
      <w:r w:rsidR="002E47DD" w:rsidRPr="0046487C">
        <w:t>a</w:t>
      </w:r>
      <w:r w:rsidR="00C06564" w:rsidRPr="0046487C">
        <w:t xml:space="preserve"> </w:t>
      </w:r>
      <w:r w:rsidR="00506C13" w:rsidRPr="0046487C">
        <w:t xml:space="preserve">a stanovenia </w:t>
      </w:r>
      <w:r w:rsidR="00C06564" w:rsidRPr="0046487C">
        <w:t xml:space="preserve">intenzity </w:t>
      </w:r>
      <w:r w:rsidR="0006018E">
        <w:t>motor</w:t>
      </w:r>
      <w:r w:rsidR="00A27BDB" w:rsidRPr="0046487C">
        <w:t>ovej dopravy</w:t>
      </w:r>
      <w:r w:rsidR="0058397F" w:rsidRPr="0046487C">
        <w:t xml:space="preserve"> </w:t>
      </w:r>
      <w:r w:rsidR="00A27BDB" w:rsidRPr="0046487C">
        <w:t> </w:t>
      </w:r>
      <w:r w:rsidRPr="0046487C">
        <w:t>navrhnúť</w:t>
      </w:r>
      <w:r w:rsidR="00A27BDB" w:rsidRPr="0046487C">
        <w:t xml:space="preserve"> riešeni</w:t>
      </w:r>
      <w:r w:rsidRPr="0046487C">
        <w:t>e</w:t>
      </w:r>
      <w:r w:rsidR="00A27BDB" w:rsidRPr="0046487C">
        <w:t xml:space="preserve"> protismernej jazdy cyklistu v</w:t>
      </w:r>
      <w:r w:rsidR="00506C13" w:rsidRPr="0046487C">
        <w:t xml:space="preserve"> jednotlivých </w:t>
      </w:r>
      <w:r w:rsidR="00A27BDB" w:rsidRPr="0046487C">
        <w:t>jednosmer</w:t>
      </w:r>
      <w:r w:rsidRPr="0046487C">
        <w:t>n</w:t>
      </w:r>
      <w:r w:rsidR="00506C13" w:rsidRPr="0046487C">
        <w:t>ých</w:t>
      </w:r>
      <w:r w:rsidRPr="0046487C">
        <w:t xml:space="preserve"> komunikáci</w:t>
      </w:r>
      <w:r w:rsidR="00506C13" w:rsidRPr="0046487C">
        <w:t>ách</w:t>
      </w:r>
      <w:r w:rsidR="00B12169">
        <w:t>, ak to bude potrebné navrhnúť aj reorganizáciu parkovania, zo zachovaním počtu parkovacích miest</w:t>
      </w:r>
      <w:r w:rsidR="00A27BDB" w:rsidRPr="0046487C">
        <w:t>.</w:t>
      </w:r>
      <w:r w:rsidR="002A012C" w:rsidRPr="0046487C">
        <w:t xml:space="preserve"> </w:t>
      </w:r>
      <w:r w:rsidR="002A012C" w:rsidRPr="0046487C">
        <w:rPr>
          <w:b/>
          <w:bCs/>
        </w:rPr>
        <w:t>Povolenie vjazdu cyklistom obojsmerne do jednosmernej komunikácie</w:t>
      </w:r>
      <w:r w:rsidR="002A012C">
        <w:t xml:space="preserve"> je možné urobiť nasledovne</w:t>
      </w:r>
      <w:r>
        <w:t xml:space="preserve"> (v zmysle TP 085/2019)</w:t>
      </w:r>
      <w:r w:rsidR="00706AC2">
        <w:t>:</w:t>
      </w:r>
    </w:p>
    <w:p w:rsidR="00706AC2" w:rsidRDefault="00706AC2" w:rsidP="00706AC2">
      <w:pPr>
        <w:pStyle w:val="Odsekzoznamu"/>
        <w:numPr>
          <w:ilvl w:val="0"/>
          <w:numId w:val="7"/>
        </w:numPr>
        <w:jc w:val="both"/>
      </w:pPr>
      <w:r>
        <w:t xml:space="preserve">pomocou dopravného značenia, </w:t>
      </w:r>
    </w:p>
    <w:p w:rsidR="00706AC2" w:rsidRDefault="00706AC2" w:rsidP="00706AC2">
      <w:pPr>
        <w:pStyle w:val="Odsekzoznamu"/>
        <w:numPr>
          <w:ilvl w:val="0"/>
          <w:numId w:val="7"/>
        </w:numPr>
        <w:jc w:val="both"/>
      </w:pPr>
      <w:r>
        <w:t xml:space="preserve">pomocou jednosmerného </w:t>
      </w:r>
      <w:proofErr w:type="spellStart"/>
      <w:r>
        <w:t>cyklopruhu</w:t>
      </w:r>
      <w:proofErr w:type="spellEnd"/>
      <w:r>
        <w:t xml:space="preserve">, </w:t>
      </w:r>
    </w:p>
    <w:p w:rsidR="00706AC2" w:rsidRDefault="00706AC2" w:rsidP="00706AC2">
      <w:pPr>
        <w:pStyle w:val="Odsekzoznamu"/>
        <w:numPr>
          <w:ilvl w:val="0"/>
          <w:numId w:val="7"/>
        </w:numPr>
        <w:jc w:val="both"/>
      </w:pPr>
      <w:r>
        <w:t xml:space="preserve">pomocou jednosmerného </w:t>
      </w:r>
      <w:proofErr w:type="spellStart"/>
      <w:r>
        <w:t>cyklopruhu</w:t>
      </w:r>
      <w:proofErr w:type="spellEnd"/>
      <w:r>
        <w:t xml:space="preserve"> a </w:t>
      </w:r>
      <w:proofErr w:type="spellStart"/>
      <w:r>
        <w:t>cyklokoridoru</w:t>
      </w:r>
      <w:proofErr w:type="spellEnd"/>
      <w:r>
        <w:t xml:space="preserve">, </w:t>
      </w:r>
    </w:p>
    <w:p w:rsidR="00D83AD7" w:rsidRDefault="00706AC2" w:rsidP="00D83AD7">
      <w:pPr>
        <w:pStyle w:val="Odsekzoznamu"/>
        <w:numPr>
          <w:ilvl w:val="0"/>
          <w:numId w:val="7"/>
        </w:numPr>
        <w:jc w:val="both"/>
      </w:pPr>
      <w:r>
        <w:t xml:space="preserve">pomocou obojsmerného </w:t>
      </w:r>
      <w:proofErr w:type="spellStart"/>
      <w:r>
        <w:t>cyklokoridoru</w:t>
      </w:r>
      <w:proofErr w:type="spellEnd"/>
      <w:r>
        <w:t>.</w:t>
      </w:r>
    </w:p>
    <w:p w:rsidR="00E00BB6" w:rsidRDefault="00E00BB6" w:rsidP="00E00BB6">
      <w:pPr>
        <w:pStyle w:val="Odsekzoznamu"/>
        <w:jc w:val="both"/>
      </w:pPr>
    </w:p>
    <w:p w:rsidR="00D83AD7" w:rsidRPr="007419EE" w:rsidRDefault="00D83AD7" w:rsidP="00D83AD7">
      <w:pPr>
        <w:pStyle w:val="Odsekzoznamu"/>
        <w:numPr>
          <w:ilvl w:val="0"/>
          <w:numId w:val="9"/>
        </w:numPr>
        <w:jc w:val="both"/>
        <w:rPr>
          <w:b/>
          <w:bCs/>
        </w:rPr>
      </w:pPr>
      <w:r w:rsidRPr="007419EE">
        <w:rPr>
          <w:b/>
          <w:bCs/>
        </w:rPr>
        <w:t xml:space="preserve">Pomocou dopravného značenia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Odporúča sa osadiť dopravnú značku B31a - 30 km/h, resp. IP24a,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v danej jednosmernej komunikácií musia byť prehľadné križovatkové a </w:t>
      </w:r>
      <w:proofErr w:type="spellStart"/>
      <w:r>
        <w:t>medzikrižovatkové</w:t>
      </w:r>
      <w:proofErr w:type="spellEnd"/>
      <w:r>
        <w:t xml:space="preserve"> úseky,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pri šírkovom usporiadaní so šírkou jednosmernej komunikácie 3,00 m, zabezpečiť možnosť vyhnutia bicykla a ostatných vozidiel v dostatočnom čase a dĺžke (maximálna vzdialenosť 80 m), aby nemohlo dôjsť ku kolízií. Ako </w:t>
      </w:r>
      <w:proofErr w:type="spellStart"/>
      <w:r>
        <w:t>výhybňa</w:t>
      </w:r>
      <w:proofErr w:type="spellEnd"/>
      <w:r>
        <w:t xml:space="preserve"> môže slúžiť lokálne rozšírenie komunikácie, prerušenie parkovacieho pásu (vjazd na miesto ležiace mimo komunikáciu) a pod.,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obojsmerný pohyb cyklistov sa zabezpečí pomocou dopravných značiek (B 2+E 16b a IP 3b+E 16c </w:t>
      </w:r>
      <w:r w:rsidR="004B7E67">
        <w:t>)</w:t>
      </w:r>
      <w:r>
        <w:t>,</w:t>
      </w:r>
    </w:p>
    <w:p w:rsidR="004B7E6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na možné odbočenie cyklistov do jednosmernej ulice je možné upozorniť pomocou dopravných značiek (C 2 (C 1až C 4c) + E 16a resp. B 27a (B 27b) s E 12 s textom alebo obrázkom „okrem bicykla“, </w:t>
      </w:r>
    </w:p>
    <w:p w:rsidR="00C06564" w:rsidRDefault="004B7E67" w:rsidP="00244263">
      <w:pPr>
        <w:pStyle w:val="Odsekzoznamu"/>
        <w:numPr>
          <w:ilvl w:val="1"/>
          <w:numId w:val="9"/>
        </w:numPr>
        <w:jc w:val="both"/>
      </w:pPr>
      <w:r>
        <w:t>v</w:t>
      </w:r>
      <w:r w:rsidR="00D83AD7">
        <w:t xml:space="preserve"> prípade potreby je možné vyznačiť aj jednosmerne cyklokoridor (vyznačí sa len v protismere jazdy),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daný spôsob vedenia sa </w:t>
      </w:r>
      <w:r w:rsidR="004B7E67">
        <w:t>použije</w:t>
      </w:r>
      <w:r>
        <w:t>, ak intenzita vozidiel nie je väčšia ako 400 voz/h.</w:t>
      </w:r>
    </w:p>
    <w:p w:rsidR="00E00BB6" w:rsidRDefault="00E00BB6" w:rsidP="00D83AD7">
      <w:pPr>
        <w:pStyle w:val="Odsekzoznamu"/>
        <w:jc w:val="both"/>
      </w:pPr>
    </w:p>
    <w:p w:rsidR="00D83AD7" w:rsidRDefault="00D83AD7" w:rsidP="00D83AD7">
      <w:pPr>
        <w:pStyle w:val="Odsekzoznamu"/>
        <w:numPr>
          <w:ilvl w:val="0"/>
          <w:numId w:val="9"/>
        </w:numPr>
        <w:jc w:val="both"/>
      </w:pPr>
      <w:r w:rsidRPr="00495CDC">
        <w:rPr>
          <w:b/>
          <w:bCs/>
        </w:rPr>
        <w:t xml:space="preserve">Pomocou jednosmerného </w:t>
      </w:r>
      <w:proofErr w:type="spellStart"/>
      <w:r w:rsidRPr="00495CDC">
        <w:rPr>
          <w:b/>
          <w:bCs/>
        </w:rPr>
        <w:t>cyklopruhu</w:t>
      </w:r>
      <w:proofErr w:type="spellEnd"/>
      <w:r>
        <w:t xml:space="preserve"> </w:t>
      </w:r>
    </w:p>
    <w:p w:rsidR="00D83AD7" w:rsidRDefault="00D83AD7" w:rsidP="00244263">
      <w:pPr>
        <w:pStyle w:val="Odsekzoznamu"/>
        <w:numPr>
          <w:ilvl w:val="1"/>
          <w:numId w:val="9"/>
        </w:numPr>
        <w:jc w:val="both"/>
      </w:pPr>
      <w:r>
        <w:t xml:space="preserve">do šírky pruhu pre cyklistov sa nezapočítava vodiaca čiara V 4 šírky 0,25 m na oddelenie vozidiel a cyklistov. Na začiatku cyklistického pruhu sa </w:t>
      </w:r>
      <w:r w:rsidR="004B7E67">
        <w:t xml:space="preserve">bielym </w:t>
      </w:r>
      <w:r>
        <w:t xml:space="preserve">vodorovným značením na zelenom podfarbení umiestni piktogram bicykla so smerovou šípkou. </w:t>
      </w:r>
      <w:r>
        <w:lastRenderedPageBreak/>
        <w:t>Daný piktogram sa následne opakuje po 20,00 m. V prípade križovania s priechodom pre chodcov sa miesto podfarbí v zmysle nebezpečného miesta</w:t>
      </w:r>
      <w:r w:rsidR="00A54C0D">
        <w:t>.</w:t>
      </w:r>
    </w:p>
    <w:p w:rsidR="00D83AD7" w:rsidRDefault="00D83AD7" w:rsidP="00D83AD7">
      <w:pPr>
        <w:pStyle w:val="Odsekzoznamu"/>
        <w:jc w:val="both"/>
      </w:pPr>
      <w:r>
        <w:rPr>
          <w:noProof/>
          <w:lang w:eastAsia="sk-SK"/>
        </w:rPr>
        <w:drawing>
          <wp:inline distT="0" distB="0" distL="0" distR="0">
            <wp:extent cx="5715000" cy="1647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D7" w:rsidRPr="00495CDC" w:rsidRDefault="00D83AD7" w:rsidP="00D83AD7">
      <w:pPr>
        <w:pStyle w:val="Odsekzoznamu"/>
        <w:numPr>
          <w:ilvl w:val="0"/>
          <w:numId w:val="9"/>
        </w:numPr>
        <w:jc w:val="both"/>
        <w:rPr>
          <w:b/>
        </w:rPr>
      </w:pPr>
      <w:r w:rsidRPr="00495CDC">
        <w:rPr>
          <w:b/>
          <w:bCs/>
        </w:rPr>
        <w:t xml:space="preserve">Pomocou jednosmerného </w:t>
      </w:r>
      <w:proofErr w:type="spellStart"/>
      <w:r w:rsidRPr="00495CDC">
        <w:rPr>
          <w:b/>
          <w:bCs/>
        </w:rPr>
        <w:t>cyklopruhu</w:t>
      </w:r>
      <w:proofErr w:type="spellEnd"/>
      <w:r w:rsidRPr="00495CDC">
        <w:rPr>
          <w:b/>
          <w:bCs/>
        </w:rPr>
        <w:t xml:space="preserve"> a </w:t>
      </w:r>
      <w:proofErr w:type="spellStart"/>
      <w:r w:rsidRPr="00495CDC">
        <w:rPr>
          <w:b/>
          <w:bCs/>
        </w:rPr>
        <w:t>cyklokoridoru</w:t>
      </w:r>
      <w:proofErr w:type="spellEnd"/>
      <w:r>
        <w:t xml:space="preserve"> </w:t>
      </w:r>
    </w:p>
    <w:p w:rsidR="00D83AD7" w:rsidRDefault="00D83AD7" w:rsidP="00244263">
      <w:pPr>
        <w:pStyle w:val="Odsekzoznamu"/>
        <w:numPr>
          <w:ilvl w:val="0"/>
          <w:numId w:val="28"/>
        </w:numPr>
        <w:jc w:val="both"/>
      </w:pPr>
      <w:r>
        <w:t>Tento variant vedenia cyklistov sa využíva v prípade, ak sa v jednosmernej komunikácii nachádza veľký počet vjazdov (minimálne 10) alebo je veľká intenzita dopravy (nad 1100 voz/h). Koridor pre cyklistov sa vyznačí podľa zásad pre jeho značenie (v zmysle TP 085/2019). V neprehľadných miestach sa odporúča fyzické oddelenie cyklistov v cyklistickom pruhu.</w:t>
      </w:r>
    </w:p>
    <w:p w:rsidR="00E00BB6" w:rsidRPr="0083320C" w:rsidRDefault="00D83AD7" w:rsidP="0083320C">
      <w:pPr>
        <w:pStyle w:val="Odsekzoznamu"/>
        <w:jc w:val="both"/>
        <w:rPr>
          <w:b/>
        </w:rPr>
      </w:pPr>
      <w:r>
        <w:rPr>
          <w:noProof/>
          <w:lang w:eastAsia="sk-SK"/>
        </w:rPr>
        <w:drawing>
          <wp:inline distT="0" distB="0" distL="0" distR="0">
            <wp:extent cx="5760720" cy="1501140"/>
            <wp:effectExtent l="0" t="0" r="0" b="381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AD7" w:rsidRDefault="00D83AD7" w:rsidP="00D83AD7">
      <w:pPr>
        <w:pStyle w:val="Odsekzoznamu"/>
        <w:numPr>
          <w:ilvl w:val="0"/>
          <w:numId w:val="9"/>
        </w:numPr>
      </w:pPr>
      <w:r w:rsidRPr="00495CDC">
        <w:rPr>
          <w:b/>
          <w:bCs/>
        </w:rPr>
        <w:t xml:space="preserve">Pomocou obojsmerného </w:t>
      </w:r>
      <w:proofErr w:type="spellStart"/>
      <w:r w:rsidRPr="00495CDC">
        <w:rPr>
          <w:b/>
          <w:bCs/>
        </w:rPr>
        <w:t>cyklokoridoru</w:t>
      </w:r>
      <w:proofErr w:type="spellEnd"/>
    </w:p>
    <w:p w:rsidR="00D83AD7" w:rsidRDefault="00D83AD7" w:rsidP="00244263">
      <w:pPr>
        <w:pStyle w:val="Odsekzoznamu"/>
        <w:numPr>
          <w:ilvl w:val="0"/>
          <w:numId w:val="28"/>
        </w:numPr>
        <w:jc w:val="both"/>
      </w:pPr>
      <w:r>
        <w:t>Cyklistický koridor sa odporúča vyznačiť v prvých mesiacoch zmeny organizácie dopravy (cca 3 mesiace) ako informácia pre vodičov. Koridor pre cyklistov sa vyznačí podľa zásad pre jeho značenie a vyznačí sa obojstranne.</w:t>
      </w:r>
    </w:p>
    <w:p w:rsidR="00D83AD7" w:rsidRDefault="00D83AD7" w:rsidP="00D83AD7">
      <w:pPr>
        <w:pStyle w:val="Odsekzoznamu"/>
      </w:pPr>
    </w:p>
    <w:p w:rsidR="00D83AD7" w:rsidRDefault="00D83AD7" w:rsidP="00D83AD7">
      <w:pPr>
        <w:pStyle w:val="Odsekzoznamu"/>
      </w:pPr>
      <w:r>
        <w:rPr>
          <w:noProof/>
          <w:lang w:eastAsia="sk-SK"/>
        </w:rPr>
        <w:drawing>
          <wp:inline distT="0" distB="0" distL="0" distR="0">
            <wp:extent cx="5760720" cy="1440180"/>
            <wp:effectExtent l="0" t="0" r="0" b="762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6F6" w:rsidRDefault="00CA4DFF" w:rsidP="008106F6">
      <w:pPr>
        <w:spacing w:after="200" w:line="276" w:lineRule="auto"/>
        <w:jc w:val="both"/>
      </w:pPr>
      <w:r w:rsidRPr="008106F6">
        <w:t>Trvalé dopravné značenie môže pozostávať zo zvislého a vodorovného dopravného značenia.</w:t>
      </w:r>
    </w:p>
    <w:p w:rsidR="008106F6" w:rsidRDefault="008106F6" w:rsidP="008106F6">
      <w:pPr>
        <w:spacing w:after="200" w:line="276" w:lineRule="auto"/>
        <w:jc w:val="both"/>
      </w:pPr>
      <w:r>
        <w:t>V</w:t>
      </w:r>
      <w:r w:rsidR="00CA4DFF" w:rsidRPr="008106F6">
        <w:t>odorovné dopravné značenie</w:t>
      </w:r>
      <w:r w:rsidR="0083320C">
        <w:t xml:space="preserve"> navrhnúť</w:t>
      </w:r>
      <w:r w:rsidR="00CA4DFF" w:rsidRPr="008106F6">
        <w:t xml:space="preserve">: </w:t>
      </w:r>
    </w:p>
    <w:p w:rsidR="008106F6" w:rsidRDefault="00CA4DFF" w:rsidP="008106F6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106F6">
        <w:t>bielej farby</w:t>
      </w:r>
      <w:r w:rsidR="00AF3CAF" w:rsidRPr="008106F6">
        <w:t xml:space="preserve"> (čiary, piktogram cyklistu, smerová šípka)</w:t>
      </w:r>
      <w:r w:rsidR="00F1426E">
        <w:t>.</w:t>
      </w:r>
      <w:r w:rsidRPr="008106F6">
        <w:t xml:space="preserve"> </w:t>
      </w:r>
    </w:p>
    <w:p w:rsidR="008106F6" w:rsidRDefault="00CA4DFF" w:rsidP="008106F6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106F6">
        <w:t>zelené podfarbenie</w:t>
      </w:r>
      <w:r w:rsidR="008106F6">
        <w:t xml:space="preserve"> - použiť v miestach križovania s inými komunikáciami (ak je vyhodnotená nutnosť takéhoto podfarbenia) a v miestach zvýšeného nebezpečenstva pre cyklistov (autobusová zástavka, priechod pre chodcov, prejazd cez koľajovú dráhu, náhla zmena smeru </w:t>
      </w:r>
      <w:r w:rsidR="008106F6">
        <w:lastRenderedPageBreak/>
        <w:t>cyklistu, zmena šírkového usporiadania, začiatok a koniec CYK, miesta, kde je ohrozená bezpečnosť cyklistu alebo chodca).</w:t>
      </w:r>
    </w:p>
    <w:p w:rsidR="008E084E" w:rsidRDefault="008E084E" w:rsidP="008E084E">
      <w:pPr>
        <w:pStyle w:val="Odsekzoznamu"/>
        <w:spacing w:after="200" w:line="276" w:lineRule="auto"/>
        <w:jc w:val="both"/>
      </w:pPr>
    </w:p>
    <w:p w:rsidR="00F1426E" w:rsidRDefault="008E084E" w:rsidP="008E084E">
      <w:pPr>
        <w:pStyle w:val="Odsekzoznamu"/>
        <w:spacing w:after="200" w:line="276" w:lineRule="auto"/>
        <w:ind w:left="0"/>
        <w:jc w:val="both"/>
      </w:pPr>
      <w:r w:rsidRPr="008E084E">
        <w:t>Z</w:t>
      </w:r>
      <w:r w:rsidR="00CA4DFF" w:rsidRPr="008E084E">
        <w:t>vislé dopravné znač</w:t>
      </w:r>
      <w:r w:rsidRPr="008E084E">
        <w:t>ky</w:t>
      </w:r>
      <w:r w:rsidR="00F1426E">
        <w:t>:</w:t>
      </w:r>
    </w:p>
    <w:p w:rsidR="00CA4DFF" w:rsidRPr="008E084E" w:rsidRDefault="00F1426E" w:rsidP="00F1426E">
      <w:pPr>
        <w:pStyle w:val="Odsekzoznamu"/>
        <w:numPr>
          <w:ilvl w:val="0"/>
          <w:numId w:val="24"/>
        </w:numPr>
        <w:spacing w:after="200" w:line="276" w:lineRule="auto"/>
        <w:jc w:val="both"/>
      </w:pPr>
      <w:r>
        <w:t xml:space="preserve">funkčná plocha v  </w:t>
      </w:r>
      <w:proofErr w:type="spellStart"/>
      <w:r w:rsidR="00C97CBE">
        <w:t>retroreflexn</w:t>
      </w:r>
      <w:r>
        <w:t>ej</w:t>
      </w:r>
      <w:proofErr w:type="spellEnd"/>
      <w:r w:rsidR="00C97CBE">
        <w:t xml:space="preserve"> </w:t>
      </w:r>
      <w:r>
        <w:t>úprave</w:t>
      </w:r>
      <w:r w:rsidR="00CA4DFF" w:rsidRPr="008E084E">
        <w:t xml:space="preserve">. </w:t>
      </w:r>
    </w:p>
    <w:p w:rsidR="008E084E" w:rsidRPr="008E084E" w:rsidRDefault="008E084E" w:rsidP="008E084E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E084E">
        <w:t>zvislé dopravné značky, ani ich konštrukcie nemôžu zasahovať do vymedzenej časti dopravného priestoru (voľná šírka a výška cesty).</w:t>
      </w:r>
    </w:p>
    <w:p w:rsidR="00313879" w:rsidRDefault="008E084E" w:rsidP="00F1426E">
      <w:pPr>
        <w:pStyle w:val="Odsekzoznamu"/>
        <w:numPr>
          <w:ilvl w:val="0"/>
          <w:numId w:val="22"/>
        </w:numPr>
        <w:spacing w:after="200" w:line="276" w:lineRule="auto"/>
        <w:jc w:val="both"/>
      </w:pPr>
      <w:r w:rsidRPr="008E084E">
        <w:t xml:space="preserve">nosné konštrukcie dopravných značiek a zariadení môžu zasahovať do prechodného priestoru, pokiaľ v danom mieste </w:t>
      </w:r>
      <w:r w:rsidR="00A54C0D">
        <w:t>ostane</w:t>
      </w:r>
      <w:r w:rsidRPr="008E084E">
        <w:t xml:space="preserve"> voľná šírka </w:t>
      </w:r>
      <w:r w:rsidR="00A54C0D">
        <w:t>min.</w:t>
      </w:r>
      <w:r w:rsidRPr="008E084E">
        <w:t xml:space="preserve"> </w:t>
      </w:r>
      <w:smartTag w:uri="urn:schemas-microsoft-com:office:smarttags" w:element="metricconverter">
        <w:smartTagPr>
          <w:attr w:name="ProductID" w:val="1,50 m"/>
        </w:smartTagPr>
        <w:r w:rsidRPr="008E084E">
          <w:t>1,50 m</w:t>
        </w:r>
      </w:smartTag>
      <w:r w:rsidR="00A54C0D">
        <w:t xml:space="preserve"> pre peších</w:t>
      </w:r>
      <w:r w:rsidRPr="008E084E">
        <w:t xml:space="preserve">. </w:t>
      </w:r>
    </w:p>
    <w:p w:rsidR="00F1426E" w:rsidRPr="00F1426E" w:rsidRDefault="00F1426E" w:rsidP="00F1426E">
      <w:pPr>
        <w:pStyle w:val="Odsekzoznamu"/>
        <w:spacing w:after="200" w:line="276" w:lineRule="auto"/>
        <w:jc w:val="both"/>
      </w:pPr>
    </w:p>
    <w:p w:rsidR="00313879" w:rsidRPr="00E00BB6" w:rsidRDefault="00313879" w:rsidP="00313879">
      <w:pPr>
        <w:ind w:left="2160" w:hanging="2160"/>
        <w:jc w:val="both"/>
        <w:rPr>
          <w:b/>
          <w:bCs/>
        </w:rPr>
      </w:pPr>
      <w:r w:rsidRPr="00E00BB6">
        <w:rPr>
          <w:b/>
          <w:bCs/>
        </w:rPr>
        <w:t>Poskytnutie služby bude pozostávať z nasledovných činností:</w:t>
      </w:r>
    </w:p>
    <w:p w:rsidR="004854C6" w:rsidRPr="0043273A" w:rsidRDefault="004854C6" w:rsidP="009C7EA2">
      <w:pPr>
        <w:pStyle w:val="Odsekzoznamu"/>
        <w:numPr>
          <w:ilvl w:val="0"/>
          <w:numId w:val="40"/>
        </w:numPr>
        <w:spacing w:after="200" w:line="276" w:lineRule="auto"/>
        <w:jc w:val="both"/>
        <w:rPr>
          <w:b/>
        </w:rPr>
      </w:pPr>
      <w:bookmarkStart w:id="7" w:name="_Hlk34029909"/>
      <w:bookmarkStart w:id="8" w:name="_Hlk33182091"/>
      <w:r>
        <w:rPr>
          <w:b/>
          <w:bCs/>
        </w:rPr>
        <w:t>R</w:t>
      </w:r>
      <w:r w:rsidRPr="00B52406">
        <w:rPr>
          <w:b/>
          <w:bCs/>
        </w:rPr>
        <w:t>ealiz</w:t>
      </w:r>
      <w:r>
        <w:rPr>
          <w:b/>
          <w:bCs/>
        </w:rPr>
        <w:t>ácia</w:t>
      </w:r>
      <w:r w:rsidRPr="00B52406">
        <w:rPr>
          <w:b/>
          <w:bCs/>
        </w:rPr>
        <w:t xml:space="preserve"> profilové</w:t>
      </w:r>
      <w:r>
        <w:rPr>
          <w:b/>
          <w:bCs/>
        </w:rPr>
        <w:t>ho</w:t>
      </w:r>
      <w:r w:rsidRPr="00B52406">
        <w:rPr>
          <w:b/>
          <w:bCs/>
        </w:rPr>
        <w:t xml:space="preserve"> sčítani</w:t>
      </w:r>
      <w:r>
        <w:rPr>
          <w:b/>
          <w:bCs/>
        </w:rPr>
        <w:t>a</w:t>
      </w:r>
      <w:r w:rsidRPr="00B52406">
        <w:rPr>
          <w:b/>
          <w:bCs/>
        </w:rPr>
        <w:t xml:space="preserve"> dopravy </w:t>
      </w:r>
      <w:r w:rsidR="00C03B2F">
        <w:rPr>
          <w:b/>
          <w:bCs/>
        </w:rPr>
        <w:t>n</w:t>
      </w:r>
      <w:r w:rsidRPr="00B52406">
        <w:rPr>
          <w:b/>
          <w:bCs/>
        </w:rPr>
        <w:t xml:space="preserve">a </w:t>
      </w:r>
      <w:r w:rsidR="00AF6437" w:rsidRPr="00FF5463">
        <w:rPr>
          <w:b/>
          <w:bCs/>
        </w:rPr>
        <w:t>4</w:t>
      </w:r>
      <w:r w:rsidRPr="00FF5463">
        <w:rPr>
          <w:b/>
          <w:bCs/>
        </w:rPr>
        <w:t>.</w:t>
      </w:r>
      <w:r w:rsidRPr="00B52406">
        <w:rPr>
          <w:b/>
          <w:bCs/>
        </w:rPr>
        <w:t xml:space="preserve"> jednosmerných uliciach</w:t>
      </w:r>
      <w:bookmarkEnd w:id="7"/>
      <w:r w:rsidR="0068158F">
        <w:rPr>
          <w:b/>
          <w:bCs/>
        </w:rPr>
        <w:t>.</w:t>
      </w:r>
    </w:p>
    <w:p w:rsidR="0043273A" w:rsidRPr="00542F2C" w:rsidRDefault="0043273A" w:rsidP="009C7EA2">
      <w:pPr>
        <w:pStyle w:val="Odsekzoznamu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542F2C">
        <w:rPr>
          <w:b/>
        </w:rPr>
        <w:t xml:space="preserve">Geodetické zameranie </w:t>
      </w:r>
      <w:r w:rsidRPr="00542F2C">
        <w:rPr>
          <w:bCs/>
        </w:rPr>
        <w:t xml:space="preserve">- v rozsahu záujmového územia s vyhotovením dokumentácie meračských prác s účelovými mapami, pričom výsledky meraní budú autorizačne overené v zmysle zákona NR SR č. 215/1995 </w:t>
      </w:r>
      <w:proofErr w:type="spellStart"/>
      <w:r w:rsidRPr="00542F2C">
        <w:rPr>
          <w:bCs/>
        </w:rPr>
        <w:t>Z.z</w:t>
      </w:r>
      <w:proofErr w:type="spellEnd"/>
      <w:r w:rsidRPr="00542F2C">
        <w:rPr>
          <w:bCs/>
        </w:rPr>
        <w:t xml:space="preserve">. o geodézii a kartografii v znení neskorších predpisov a Vyhlášky Úradu geodézie, kartografie a katastra Slovenskej republiky č. 300/2009 Z. z., ktorou sa vykonáva zákon Národnej rady Slovenskej republiky č. 215/1995 Z. z. o geodézii a kartografii v znení neskorších predpisov v nasledujúcom rozsahu: geodetické zameranie spracované oprávneným geodetom bude obsahovať detailné výškopisné a polohopisné zameranie celého dotknutého územia, spolu so všetkými viditeľnými povrchovými znakmi ako sú technické zariadenia inžinierskych sietí (kanalizačné šachty, vodovodné šachty, vpusty, hydranty, </w:t>
      </w:r>
      <w:proofErr w:type="spellStart"/>
      <w:r w:rsidRPr="00542F2C">
        <w:rPr>
          <w:bCs/>
        </w:rPr>
        <w:t>šupátka</w:t>
      </w:r>
      <w:proofErr w:type="spellEnd"/>
      <w:r w:rsidRPr="00542F2C">
        <w:rPr>
          <w:bCs/>
        </w:rPr>
        <w:t xml:space="preserve"> a pod.), dopravné značky, stĺpy a zariadenia CSS, stĺpy verejného osvetlenia, ako aj všetky ostatné potrebné polohopisné prvky.</w:t>
      </w:r>
    </w:p>
    <w:p w:rsidR="00B72324" w:rsidRPr="00B72324" w:rsidRDefault="00313879" w:rsidP="00B72324">
      <w:pPr>
        <w:pStyle w:val="Odsekzoznamu"/>
        <w:numPr>
          <w:ilvl w:val="0"/>
          <w:numId w:val="40"/>
        </w:numPr>
        <w:spacing w:after="200" w:line="276" w:lineRule="auto"/>
        <w:jc w:val="both"/>
        <w:rPr>
          <w:b/>
        </w:rPr>
      </w:pPr>
      <w:bookmarkStart w:id="9" w:name="_Hlk34030200"/>
      <w:r w:rsidRPr="00FF5463">
        <w:rPr>
          <w:b/>
          <w:shd w:val="clear" w:color="auto" w:fill="FFFFFF" w:themeFill="background1"/>
        </w:rPr>
        <w:t xml:space="preserve">Vypracovanie a dodanie </w:t>
      </w:r>
      <w:r w:rsidR="00FF5463" w:rsidRPr="00FF5463">
        <w:rPr>
          <w:b/>
          <w:bCs/>
          <w:shd w:val="clear" w:color="auto" w:fill="FFFFFF" w:themeFill="background1"/>
        </w:rPr>
        <w:t>Projektovej dokumentácie zmen</w:t>
      </w:r>
      <w:r w:rsidR="0059048F">
        <w:rPr>
          <w:b/>
          <w:bCs/>
          <w:shd w:val="clear" w:color="auto" w:fill="FFFFFF" w:themeFill="background1"/>
        </w:rPr>
        <w:t>y</w:t>
      </w:r>
      <w:r w:rsidR="00FF5463" w:rsidRPr="00FF5463">
        <w:rPr>
          <w:b/>
          <w:bCs/>
          <w:shd w:val="clear" w:color="auto" w:fill="FFFFFF" w:themeFill="background1"/>
        </w:rPr>
        <w:t xml:space="preserve"> organizácie dopravy </w:t>
      </w:r>
      <w:bookmarkEnd w:id="9"/>
      <w:r w:rsidR="00FF5463" w:rsidRPr="00FF5463">
        <w:rPr>
          <w:b/>
          <w:bCs/>
          <w:shd w:val="clear" w:color="auto" w:fill="FFFFFF" w:themeFill="background1"/>
        </w:rPr>
        <w:t>pre povolenie vjazdu cyklistom obojsmerne do jednosmerných komunikácií v centre mesta a širšom okolí</w:t>
      </w:r>
      <w:r w:rsidR="00FF5463" w:rsidRPr="00FF5463">
        <w:rPr>
          <w:b/>
          <w:shd w:val="clear" w:color="auto" w:fill="FFFFFF" w:themeFill="background1"/>
        </w:rPr>
        <w:t xml:space="preserve"> </w:t>
      </w:r>
      <w:r w:rsidR="001D2186" w:rsidRPr="00FF5463">
        <w:rPr>
          <w:b/>
          <w:shd w:val="clear" w:color="auto" w:fill="FFFFFF" w:themeFill="background1"/>
        </w:rPr>
        <w:t>– odsúhlasené a opečiatkované výkresy</w:t>
      </w:r>
      <w:r w:rsidR="001D2186" w:rsidRPr="001D2186">
        <w:rPr>
          <w:b/>
        </w:rPr>
        <w:t xml:space="preserve"> </w:t>
      </w:r>
      <w:r w:rsidR="001D2186" w:rsidRPr="00542F2C">
        <w:rPr>
          <w:bCs/>
        </w:rPr>
        <w:t>príslušným dopravným inšpektorátom, pre každú jednosmernú komunikáciu 1 x originál vyjadrenia</w:t>
      </w:r>
      <w:r w:rsidR="00D53972" w:rsidRPr="00A712AD">
        <w:rPr>
          <w:bCs/>
        </w:rPr>
        <w:t>.</w:t>
      </w:r>
    </w:p>
    <w:p w:rsidR="00542F2C" w:rsidRPr="00B72324" w:rsidRDefault="00313879" w:rsidP="00B72324">
      <w:pPr>
        <w:pStyle w:val="Odsekzoznamu"/>
        <w:numPr>
          <w:ilvl w:val="0"/>
          <w:numId w:val="40"/>
        </w:numPr>
        <w:spacing w:after="200" w:line="276" w:lineRule="auto"/>
        <w:jc w:val="both"/>
        <w:rPr>
          <w:b/>
        </w:rPr>
      </w:pPr>
      <w:r w:rsidRPr="00B72324">
        <w:rPr>
          <w:b/>
        </w:rPr>
        <w:t xml:space="preserve">Výkon inžinierskej činnosti </w:t>
      </w:r>
      <w:r w:rsidRPr="00B72324">
        <w:rPr>
          <w:bCs/>
        </w:rPr>
        <w:t xml:space="preserve">potrebnej </w:t>
      </w:r>
      <w:r w:rsidR="001D2186" w:rsidRPr="00B72324">
        <w:rPr>
          <w:bCs/>
        </w:rPr>
        <w:t>k získaniu kladných vyjadrení všetkých relevantných inštitúcií a osôb k</w:t>
      </w:r>
      <w:r w:rsidR="00542F2C" w:rsidRPr="00B72324">
        <w:rPr>
          <w:bCs/>
        </w:rPr>
        <w:t> </w:t>
      </w:r>
      <w:r w:rsidR="001D2186" w:rsidRPr="00B72324">
        <w:rPr>
          <w:bCs/>
        </w:rPr>
        <w:t>projektu</w:t>
      </w:r>
      <w:r w:rsidR="00542F2C" w:rsidRPr="00B72324">
        <w:rPr>
          <w:bCs/>
        </w:rPr>
        <w:t xml:space="preserve">, </w:t>
      </w:r>
      <w:r w:rsidR="001D2186" w:rsidRPr="00B72324">
        <w:rPr>
          <w:bCs/>
        </w:rPr>
        <w:t xml:space="preserve">odsúhlasenie </w:t>
      </w:r>
      <w:r w:rsidR="00542F2C" w:rsidRPr="00B72324">
        <w:rPr>
          <w:bCs/>
        </w:rPr>
        <w:t xml:space="preserve">výkresov </w:t>
      </w:r>
      <w:r w:rsidR="001D2186" w:rsidRPr="00B72324">
        <w:rPr>
          <w:bCs/>
        </w:rPr>
        <w:t>príslušným dopravným inšpektorátom</w:t>
      </w:r>
      <w:r w:rsidR="0048100F">
        <w:rPr>
          <w:bCs/>
        </w:rPr>
        <w:t xml:space="preserve">, </w:t>
      </w:r>
      <w:r w:rsidR="0048100F" w:rsidRPr="0048100F">
        <w:rPr>
          <w:bCs/>
        </w:rPr>
        <w:t>vydané určenie dopravného značenia</w:t>
      </w:r>
      <w:r w:rsidR="001D2186" w:rsidRPr="00B72324">
        <w:rPr>
          <w:bCs/>
        </w:rPr>
        <w:t xml:space="preserve">. </w:t>
      </w:r>
      <w:r w:rsidR="00B72324">
        <w:t xml:space="preserve">Kompletné prerokovanie PD </w:t>
      </w:r>
      <w:r w:rsidR="00B72324" w:rsidRPr="00800A03">
        <w:t xml:space="preserve">s objednávateľom, </w:t>
      </w:r>
      <w:r w:rsidR="00B72324">
        <w:t xml:space="preserve">dotknutými </w:t>
      </w:r>
      <w:r w:rsidR="00B72324" w:rsidRPr="00800A03">
        <w:t>verejnoprávnymi</w:t>
      </w:r>
      <w:r w:rsidR="00B72324">
        <w:t xml:space="preserve"> orgánmi a</w:t>
      </w:r>
      <w:r w:rsidR="00B72324" w:rsidRPr="00800A03">
        <w:t xml:space="preserve"> </w:t>
      </w:r>
      <w:r w:rsidR="00B72324">
        <w:t>organizáciami, </w:t>
      </w:r>
      <w:r w:rsidR="00B72324" w:rsidRPr="00800A03">
        <w:t xml:space="preserve">správcami inžinierskych sietí a s dotknutými </w:t>
      </w:r>
      <w:r w:rsidR="00B72324">
        <w:t>fyzickými a právnickými osobami, počas poskytovania projektovej služby.</w:t>
      </w:r>
    </w:p>
    <w:p w:rsidR="00F90BF3" w:rsidRPr="00162F91" w:rsidRDefault="00F90BF3" w:rsidP="00F90BF3">
      <w:pPr>
        <w:pStyle w:val="Odsekzoznamu"/>
        <w:spacing w:after="60" w:line="276" w:lineRule="auto"/>
        <w:jc w:val="both"/>
        <w:rPr>
          <w:rFonts w:eastAsia="Times-Roman" w:cstheme="minorHAnsi"/>
          <w:color w:val="000000"/>
        </w:rPr>
      </w:pPr>
    </w:p>
    <w:bookmarkEnd w:id="8"/>
    <w:p w:rsidR="00313879" w:rsidRPr="00AF6437" w:rsidRDefault="00313879" w:rsidP="00542F2C">
      <w:pPr>
        <w:spacing w:after="60" w:line="276" w:lineRule="auto"/>
        <w:ind w:left="360"/>
        <w:jc w:val="both"/>
      </w:pPr>
      <w:r w:rsidRPr="00542F2C">
        <w:rPr>
          <w:b/>
          <w:bCs/>
        </w:rPr>
        <w:t>Požadovaný minimálny obsah a rozsah dokumentácie</w:t>
      </w:r>
      <w:r w:rsidRPr="005A3FA7">
        <w:t xml:space="preserve"> v zmysle ustanovenia § 9 Vyhlášky č. 453/2000 Z. z. a </w:t>
      </w:r>
      <w:r w:rsidRPr="00AF6437">
        <w:t>spĺňajúcej požiadavky v súlade s vyhláškou MŽP SR č. 532/2002 Z. z:</w:t>
      </w:r>
    </w:p>
    <w:p w:rsidR="00D53972" w:rsidRPr="00542F2C" w:rsidRDefault="00D53972" w:rsidP="00B640D7">
      <w:pPr>
        <w:pStyle w:val="Odsekzoznamu"/>
        <w:numPr>
          <w:ilvl w:val="0"/>
          <w:numId w:val="37"/>
        </w:numPr>
        <w:spacing w:after="200" w:line="276" w:lineRule="auto"/>
        <w:jc w:val="both"/>
        <w:rPr>
          <w:b/>
        </w:rPr>
      </w:pPr>
      <w:r w:rsidRPr="00AF6437">
        <w:t xml:space="preserve">Dokumentácia profilového sčítania dopravy vypracovaná pre </w:t>
      </w:r>
      <w:r w:rsidR="00AF6437" w:rsidRPr="00AF6437">
        <w:t>4</w:t>
      </w:r>
      <w:r w:rsidRPr="00AF6437">
        <w:t xml:space="preserve">. </w:t>
      </w:r>
      <w:r w:rsidR="00B640D7" w:rsidRPr="00AF6437">
        <w:t>stanov</w:t>
      </w:r>
      <w:r w:rsidR="00AF6437" w:rsidRPr="00AF6437">
        <w:t>ištia</w:t>
      </w:r>
      <w:r w:rsidR="0082754C">
        <w:t xml:space="preserve"> -</w:t>
      </w:r>
      <w:r w:rsidRPr="00AF6437">
        <w:t xml:space="preserve"> Technická správa: použitá metodika, príprava a vykonanie prieskumu, popis výsledkov prieskumu, krátke zhrnutie z každého stanovišťa; Dokladová časť</w:t>
      </w:r>
      <w:r w:rsidR="00542F2C">
        <w:t>.</w:t>
      </w:r>
    </w:p>
    <w:p w:rsidR="00542F2C" w:rsidRPr="00AF6437" w:rsidRDefault="00542F2C" w:rsidP="00B640D7">
      <w:pPr>
        <w:pStyle w:val="Odsekzoznamu"/>
        <w:numPr>
          <w:ilvl w:val="0"/>
          <w:numId w:val="37"/>
        </w:numPr>
        <w:spacing w:after="200" w:line="276" w:lineRule="auto"/>
        <w:jc w:val="both"/>
        <w:rPr>
          <w:b/>
        </w:rPr>
      </w:pPr>
      <w:r>
        <w:t>Dokumentácia meračských prác.</w:t>
      </w:r>
    </w:p>
    <w:p w:rsidR="00313879" w:rsidRDefault="00D53972" w:rsidP="00D53972">
      <w:pPr>
        <w:pStyle w:val="Odsekzoznamu"/>
        <w:numPr>
          <w:ilvl w:val="0"/>
          <w:numId w:val="37"/>
        </w:numPr>
        <w:spacing w:after="120"/>
        <w:jc w:val="both"/>
      </w:pPr>
      <w:r w:rsidRPr="00AF6437">
        <w:t xml:space="preserve">Projekt </w:t>
      </w:r>
      <w:r w:rsidR="00FF5463" w:rsidRPr="00FF5463">
        <w:t>zmeny organizácie dopravy a</w:t>
      </w:r>
      <w:r w:rsidR="00E66CB2">
        <w:t xml:space="preserve"> návrh </w:t>
      </w:r>
      <w:r w:rsidRPr="00AF6437">
        <w:t>dopravného značenia – trvalé ak bude potrebné aj dočasné</w:t>
      </w:r>
      <w:r w:rsidR="00B640D7" w:rsidRPr="00AF6437">
        <w:t>,</w:t>
      </w:r>
      <w:r w:rsidRPr="00AF6437">
        <w:t xml:space="preserve"> </w:t>
      </w:r>
      <w:r w:rsidR="00C97CBE" w:rsidRPr="00AF6437">
        <w:t>T</w:t>
      </w:r>
      <w:r w:rsidR="00313879" w:rsidRPr="00AF6437">
        <w:t xml:space="preserve">echnická správa, </w:t>
      </w:r>
      <w:r w:rsidR="00C97CBE" w:rsidRPr="00AF6437">
        <w:t xml:space="preserve">Výkresy, </w:t>
      </w:r>
      <w:r w:rsidR="00313879" w:rsidRPr="00AF6437">
        <w:t xml:space="preserve">Výkaz výmer, Rozpočet - ocenený po položkách, Neocenený výkazu výmer - slepý rozpočet, Doklady. </w:t>
      </w:r>
      <w:bookmarkStart w:id="10" w:name="_Hlk33528106"/>
      <w:r w:rsidR="006F45D3" w:rsidRPr="00AF6437">
        <w:t xml:space="preserve">Vydané určenie trvalého zvislého dopravného značenia </w:t>
      </w:r>
      <w:bookmarkEnd w:id="10"/>
      <w:r w:rsidR="006F45D3" w:rsidRPr="00AF6437">
        <w:t xml:space="preserve">a prípadného vodorovného dopravného značenia a dopravných </w:t>
      </w:r>
      <w:r w:rsidR="006F45D3" w:rsidRPr="00AF6437">
        <w:lastRenderedPageBreak/>
        <w:t>zariadení. Prípadné náklady a správne poplatky súvisiace s vydaním určenia, budú súčasťou celkovej ceny spracovateľa.</w:t>
      </w:r>
    </w:p>
    <w:p w:rsidR="00313879" w:rsidRPr="00162F91" w:rsidRDefault="00FF5463" w:rsidP="00313879">
      <w:pPr>
        <w:pStyle w:val="Odsekzoznamu"/>
        <w:numPr>
          <w:ilvl w:val="0"/>
          <w:numId w:val="37"/>
        </w:numPr>
        <w:spacing w:after="120"/>
        <w:jc w:val="both"/>
      </w:pPr>
      <w:r w:rsidRPr="00162F91">
        <w:t xml:space="preserve">Návrh prípadných drobných stavebných úprav (kanalizačné vpuste, </w:t>
      </w:r>
      <w:r w:rsidR="00D97071" w:rsidRPr="00162F91">
        <w:t>vysprávk</w:t>
      </w:r>
      <w:r w:rsidR="00D97071">
        <w:t>y</w:t>
      </w:r>
      <w:r w:rsidRPr="00162F91">
        <w:t xml:space="preserve"> krytu komunikácie a pod.)</w:t>
      </w:r>
      <w:r w:rsidR="000C74A9">
        <w:t xml:space="preserve"> vrátane zakreslenia inžinierskych sietí</w:t>
      </w:r>
      <w:r w:rsidRPr="00162F91">
        <w:t>.</w:t>
      </w:r>
    </w:p>
    <w:p w:rsidR="00FF5463" w:rsidRPr="00FF5463" w:rsidRDefault="00FF5463" w:rsidP="0083320C">
      <w:pPr>
        <w:pStyle w:val="Odsekzoznamu"/>
        <w:spacing w:after="120"/>
        <w:jc w:val="both"/>
      </w:pPr>
    </w:p>
    <w:p w:rsidR="00313879" w:rsidRPr="005A3FA7" w:rsidRDefault="00313879" w:rsidP="00313879">
      <w:pPr>
        <w:spacing w:after="120"/>
        <w:jc w:val="both"/>
        <w:rPr>
          <w:b/>
        </w:rPr>
      </w:pPr>
      <w:r w:rsidRPr="005A3FA7">
        <w:rPr>
          <w:b/>
        </w:rPr>
        <w:t>Upresňujúce informácie:</w:t>
      </w:r>
    </w:p>
    <w:p w:rsidR="00313879" w:rsidRPr="005A3FA7" w:rsidRDefault="00313879" w:rsidP="00313879">
      <w:pPr>
        <w:spacing w:after="120"/>
        <w:jc w:val="both"/>
      </w:pPr>
      <w:r w:rsidRPr="007514EF">
        <w:t xml:space="preserve">Neocenený výkaz výmer a ocenený položkovitý rozpočet </w:t>
      </w:r>
      <w:r w:rsidR="006B55E6">
        <w:t xml:space="preserve">projektu </w:t>
      </w:r>
      <w:r w:rsidR="00E66CB2">
        <w:t>zmeny organizácie dopravy</w:t>
      </w:r>
      <w:r w:rsidRPr="007514EF">
        <w:t xml:space="preserve"> budú vypracované v programe MS Excel a použitím funkcie ROUND (matematické zaokrúhlenie na 2 desatinné miesta). V popise jednotlivých položiek rozpočtu je potrebné neuvádzať názov výrobku alebo označenie výrobku, ak to nie je nevyhnutné.</w:t>
      </w:r>
    </w:p>
    <w:p w:rsidR="00313879" w:rsidRPr="005A3FA7" w:rsidRDefault="00313879" w:rsidP="00313879">
      <w:pPr>
        <w:spacing w:after="120"/>
        <w:jc w:val="both"/>
      </w:pPr>
      <w:r w:rsidRPr="005A3FA7">
        <w:t xml:space="preserve">Nutnosť zapracovať do PD pripomienky vyplývajúce zo stanovísk dotknutých orgánov, </w:t>
      </w:r>
      <w:r w:rsidR="00696FE1">
        <w:t>Mesta Košice</w:t>
      </w:r>
      <w:r w:rsidRPr="005A3FA7">
        <w:t xml:space="preserve"> a iných organizácií.</w:t>
      </w:r>
    </w:p>
    <w:p w:rsidR="006B55E6" w:rsidRDefault="00313879" w:rsidP="006B55E6">
      <w:pPr>
        <w:spacing w:after="120"/>
        <w:jc w:val="both"/>
      </w:pPr>
      <w:r w:rsidRPr="005A3FA7">
        <w:t>Dokumentáci</w:t>
      </w:r>
      <w:r w:rsidR="007514EF">
        <w:t>a</w:t>
      </w:r>
      <w:r w:rsidRPr="005A3FA7">
        <w:t xml:space="preserve"> mus</w:t>
      </w:r>
      <w:r w:rsidR="007514EF">
        <w:t>í</w:t>
      </w:r>
      <w:r w:rsidRPr="005A3FA7">
        <w:t xml:space="preserve"> byť vypracovan</w:t>
      </w:r>
      <w:r w:rsidR="007514EF">
        <w:t>á</w:t>
      </w:r>
      <w:r w:rsidRPr="005A3FA7">
        <w:t xml:space="preserve"> v súlade s ustanoveniami všeobecne záväzných právnych predpisov platných a účinných v Slovenskej republike, platných technických noriem vzťahujúcich sa na dielo, v súlade s platným územným plánom Mesta Košice, Zákonom č. 50/1976 Zb. o územnom plánovaní a stavebnom poriadku (stavebný zákon) v znení neskorších predpisov, Vyhláškou č. 453/2000 Z. z., ktorou sa vykonávajú niektoré ustanovenia stavebného zákona,</w:t>
      </w:r>
      <w:r w:rsidR="000C74A9">
        <w:t xml:space="preserve"> </w:t>
      </w:r>
      <w:r w:rsidR="000C74A9" w:rsidRPr="000C74A9">
        <w:t>Vyhláškou č. 30/2020</w:t>
      </w:r>
      <w:r w:rsidR="000C74A9">
        <w:t xml:space="preserve"> </w:t>
      </w:r>
      <w:r w:rsidR="000C74A9" w:rsidRPr="000C74A9">
        <w:t>Z. z.</w:t>
      </w:r>
      <w:r w:rsidR="000C74A9" w:rsidRPr="005A3FA7">
        <w:t xml:space="preserve"> </w:t>
      </w:r>
      <w:r w:rsidR="000C74A9">
        <w:rPr>
          <w:rFonts w:ascii="Trebuchet MS" w:hAnsi="Trebuchet MS"/>
          <w:color w:val="000000"/>
          <w:sz w:val="20"/>
          <w:szCs w:val="20"/>
          <w:shd w:val="clear" w:color="auto" w:fill="FFFFFF"/>
        </w:rPr>
        <w:t>o dopravnom značení,</w:t>
      </w:r>
      <w:r w:rsidR="000C74A9" w:rsidRPr="000C74A9">
        <w:t xml:space="preserve"> </w:t>
      </w:r>
      <w:r w:rsidRPr="005A3FA7">
        <w:t>technický</w:t>
      </w:r>
      <w:r w:rsidR="00692F05">
        <w:t>mi</w:t>
      </w:r>
      <w:r w:rsidRPr="005A3FA7">
        <w:t xml:space="preserve"> podmienk</w:t>
      </w:r>
      <w:r w:rsidR="00692F05">
        <w:t>ami</w:t>
      </w:r>
      <w:r w:rsidRPr="005A3FA7">
        <w:t xml:space="preserve"> TP 085 (pôvodné označenie TP 07/2014) Navrhovanie cyklistickej infraštruktúry vydaných Ministerstvom dopravy, výstavby a regionálneho rozvoja SR;  STN 73 6101 </w:t>
      </w:r>
      <w:r w:rsidRPr="005A3FA7">
        <w:rPr>
          <w:color w:val="000000"/>
          <w:shd w:val="clear" w:color="auto" w:fill="FFFFFF"/>
        </w:rPr>
        <w:t xml:space="preserve">Projektovanie ciest a diaľnic </w:t>
      </w:r>
      <w:r w:rsidRPr="005A3FA7">
        <w:t xml:space="preserve">a STN 73 6110 Projektovanie miestnych komunikácií; v rozsahu primeranom k vykonávanému dielu.  </w:t>
      </w:r>
      <w:r w:rsidR="006A4122">
        <w:t>V</w:t>
      </w:r>
      <w:r w:rsidR="006B55E6" w:rsidRPr="00C812A1">
        <w:t xml:space="preserve">šeobecne záväzné právne predpisy a nariadenia: zákon č. 50/1976 Zb. o územnom plánovaní a stavebnom poriadku (stavebný zákon) v znení neskorších predpisov, zákon č. 135/1961 Zb. o pozemných komunikáciách (cestný zákon) v znení neskorších predpisov, zákon NR SR č. 8/2009 Z. z. o cestnej premávke a o zmene a doplnení niektorých zákonov v znení neskorších predpisov, vyhlášku MV SR č. 9/2009 Z. z., ktorou sa vykonáva zákon o cestnej premávke a o zmene a doplnení niektorých zákonov v znení neskorších predpisov, zákon NR SR č. 223/2001 Z. z. o odpadoch a o zmene a doplnení niektorých zákonov v  znení neskorších predpisov, vyhlášku MŽP SR č. 371/2015 Z. z., ktorou sa vykonávajú niektoré ustanovenia zákona o odpadoch v znení neskorších predpisov, vyhlášku MŽP SR č. 365/2015 Z. z., ktorou sa ustanovuje Katalóg odpadov, zákon NR SR č. 17/2004 Z. z. o poplatkoch za uloženie odpadov v znení neskorších predpisov, zákon NR SR č. 137/2010 Z. z. o ovzduší v znení neskorších predpisov, zákon NR SR č. 543/2002 Z. z. o ochrane prírody a krajiny v znení neskorších predpisov, zákon NR SR č. 133/2013 Z. z. </w:t>
      </w:r>
    </w:p>
    <w:p w:rsidR="00313879" w:rsidRPr="005A3FA7" w:rsidRDefault="00313879" w:rsidP="00313879">
      <w:pPr>
        <w:spacing w:after="120"/>
        <w:jc w:val="both"/>
      </w:pPr>
      <w:r w:rsidRPr="005A3FA7">
        <w:t>Dokumentáci</w:t>
      </w:r>
      <w:r w:rsidR="007514EF">
        <w:t>a</w:t>
      </w:r>
      <w:r w:rsidRPr="005A3FA7">
        <w:t xml:space="preserve"> mus</w:t>
      </w:r>
      <w:r w:rsidR="007514EF">
        <w:t>í</w:t>
      </w:r>
      <w:r w:rsidRPr="005A3FA7">
        <w:t xml:space="preserve"> byť vypracovan</w:t>
      </w:r>
      <w:r w:rsidR="007514EF">
        <w:t>á</w:t>
      </w:r>
      <w:r w:rsidRPr="005A3FA7">
        <w:t xml:space="preserve"> v úzkej súčinnosti s Mestom Košice</w:t>
      </w:r>
      <w:r w:rsidR="001D0176">
        <w:t xml:space="preserve"> – Referátom dopravy</w:t>
      </w:r>
      <w:r>
        <w:t xml:space="preserve"> a</w:t>
      </w:r>
      <w:r w:rsidR="005D5629">
        <w:t> </w:t>
      </w:r>
      <w:proofErr w:type="spellStart"/>
      <w:r>
        <w:t>cyklokoordinátor</w:t>
      </w:r>
      <w:r w:rsidR="005D5629">
        <w:t>om</w:t>
      </w:r>
      <w:proofErr w:type="spellEnd"/>
      <w:r w:rsidR="005D5629">
        <w:t xml:space="preserve"> </w:t>
      </w:r>
      <w:r>
        <w:t>mesta</w:t>
      </w:r>
      <w:r w:rsidR="007514EF">
        <w:t xml:space="preserve">, </w:t>
      </w:r>
      <w:r w:rsidRPr="007772C1">
        <w:t>v priebehu vypracovania konzultovan</w:t>
      </w:r>
      <w:r w:rsidR="007514EF">
        <w:t>á a odsúhlasená</w:t>
      </w:r>
      <w:r w:rsidRPr="007772C1">
        <w:t xml:space="preserve"> s dotknutými inštitúciami</w:t>
      </w:r>
      <w:r w:rsidR="007514EF">
        <w:t xml:space="preserve"> - predovšetkým</w:t>
      </w:r>
      <w:r w:rsidRPr="007772C1">
        <w:t xml:space="preserve"> K</w:t>
      </w:r>
      <w:r w:rsidR="007514EF">
        <w:t>rajským dopravným inšpektorátom</w:t>
      </w:r>
      <w:r>
        <w:t>. Návrh </w:t>
      </w:r>
      <w:r w:rsidR="007514EF">
        <w:t>dopravného riešenia</w:t>
      </w:r>
      <w:r w:rsidRPr="005A3FA7">
        <w:t xml:space="preserve"> musí byť písomne odsúhlasen</w:t>
      </w:r>
      <w:r>
        <w:t>ý</w:t>
      </w:r>
      <w:r w:rsidRPr="005A3FA7">
        <w:t xml:space="preserve"> Objednávateľom ešte pred </w:t>
      </w:r>
      <w:r>
        <w:t>odovzdan</w:t>
      </w:r>
      <w:r w:rsidRPr="005A3FA7">
        <w:t>ím PD.</w:t>
      </w:r>
    </w:p>
    <w:p w:rsidR="00F1426E" w:rsidRDefault="00313879" w:rsidP="00313879">
      <w:pPr>
        <w:spacing w:after="120"/>
        <w:jc w:val="both"/>
      </w:pPr>
      <w:r w:rsidRPr="005A3FA7">
        <w:t>Dokumentáci</w:t>
      </w:r>
      <w:r>
        <w:t>a</w:t>
      </w:r>
      <w:r w:rsidRPr="005A3FA7">
        <w:t xml:space="preserve"> </w:t>
      </w:r>
      <w:r w:rsidRPr="007514EF">
        <w:t>vrátane výkazu výmer a položkovitého rozpočtu</w:t>
      </w:r>
      <w:r w:rsidRPr="005A3FA7">
        <w:t xml:space="preserve"> mu</w:t>
      </w:r>
      <w:r>
        <w:t>sí</w:t>
      </w:r>
      <w:r w:rsidRPr="005A3FA7">
        <w:t xml:space="preserve"> byť vypracovan</w:t>
      </w:r>
      <w:r>
        <w:t>á</w:t>
      </w:r>
      <w:r w:rsidRPr="005A3FA7">
        <w:t xml:space="preserve"> v slovenskom jazyku, podpísan</w:t>
      </w:r>
      <w:r>
        <w:t>á</w:t>
      </w:r>
      <w:r w:rsidRPr="005A3FA7">
        <w:t xml:space="preserve"> a opečiatkovan</w:t>
      </w:r>
      <w:r>
        <w:t>á</w:t>
      </w:r>
      <w:r w:rsidRPr="005A3FA7">
        <w:t xml:space="preserve"> osobami s príslušnou odbornou spôsobilosťou</w:t>
      </w:r>
      <w:r w:rsidR="00F1426E">
        <w:t>.</w:t>
      </w:r>
    </w:p>
    <w:p w:rsidR="00B72324" w:rsidRDefault="00B72324" w:rsidP="00313879">
      <w:pPr>
        <w:spacing w:after="120"/>
        <w:jc w:val="both"/>
        <w:rPr>
          <w:b/>
          <w:bCs/>
        </w:rPr>
      </w:pPr>
    </w:p>
    <w:p w:rsidR="00313879" w:rsidRDefault="00313879" w:rsidP="00313879">
      <w:pPr>
        <w:spacing w:after="120"/>
        <w:jc w:val="both"/>
        <w:rPr>
          <w:b/>
          <w:bCs/>
        </w:rPr>
      </w:pPr>
      <w:r w:rsidRPr="007B7E6F">
        <w:rPr>
          <w:b/>
          <w:bCs/>
        </w:rPr>
        <w:t>Poskytnuté podklady:</w:t>
      </w:r>
    </w:p>
    <w:p w:rsidR="007B7E6F" w:rsidRPr="00F1426E" w:rsidRDefault="00547B1F" w:rsidP="00313879">
      <w:pPr>
        <w:spacing w:after="120"/>
        <w:jc w:val="both"/>
      </w:pPr>
      <w:bookmarkStart w:id="11" w:name="_Hlk33183377"/>
      <w:r>
        <w:t xml:space="preserve">Príloha č. </w:t>
      </w:r>
      <w:bookmarkEnd w:id="11"/>
      <w:r w:rsidR="00B10C1A">
        <w:t>5</w:t>
      </w:r>
      <w:r>
        <w:t xml:space="preserve">: </w:t>
      </w:r>
      <w:r w:rsidR="007B7E6F" w:rsidRPr="007B7E6F">
        <w:t>Jednotlivé jednosmerné komunikácie</w:t>
      </w:r>
    </w:p>
    <w:p w:rsidR="00692F05" w:rsidRDefault="00692F05" w:rsidP="00313879">
      <w:pPr>
        <w:spacing w:after="120"/>
        <w:jc w:val="both"/>
        <w:rPr>
          <w:b/>
          <w:bCs/>
          <w:sz w:val="16"/>
          <w:szCs w:val="16"/>
        </w:rPr>
      </w:pPr>
    </w:p>
    <w:p w:rsidR="000C74A9" w:rsidRPr="00692F05" w:rsidRDefault="000C74A9" w:rsidP="00313879">
      <w:pPr>
        <w:spacing w:after="120"/>
        <w:jc w:val="both"/>
        <w:rPr>
          <w:b/>
          <w:bCs/>
          <w:sz w:val="16"/>
          <w:szCs w:val="16"/>
        </w:rPr>
      </w:pPr>
    </w:p>
    <w:p w:rsidR="00313879" w:rsidRPr="005A3FA7" w:rsidRDefault="00313879" w:rsidP="00313879">
      <w:pPr>
        <w:spacing w:after="120"/>
        <w:jc w:val="both"/>
        <w:rPr>
          <w:b/>
          <w:color w:val="FF0000"/>
        </w:rPr>
      </w:pPr>
      <w:r w:rsidRPr="005A3FA7">
        <w:rPr>
          <w:b/>
        </w:rPr>
        <w:lastRenderedPageBreak/>
        <w:t xml:space="preserve">Ďalšie podmienky: </w:t>
      </w:r>
    </w:p>
    <w:p w:rsidR="003014D8" w:rsidRDefault="003014D8" w:rsidP="003014D8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bookmarkStart w:id="12" w:name="_Hlk23769463"/>
      <w:r w:rsidRPr="003014D8">
        <w:rPr>
          <w:b/>
          <w:bCs/>
        </w:rPr>
        <w:t>D</w:t>
      </w:r>
      <w:r w:rsidR="003D4A34" w:rsidRPr="003014D8">
        <w:rPr>
          <w:b/>
          <w:bCs/>
        </w:rPr>
        <w:t>okumentáci</w:t>
      </w:r>
      <w:r w:rsidR="005D5629">
        <w:rPr>
          <w:b/>
          <w:bCs/>
        </w:rPr>
        <w:t>a</w:t>
      </w:r>
      <w:r w:rsidR="003D4A34" w:rsidRPr="003014D8">
        <w:rPr>
          <w:b/>
          <w:bCs/>
        </w:rPr>
        <w:t xml:space="preserve"> profilového sčítania dopravy</w:t>
      </w:r>
      <w:r w:rsidR="003D4A34" w:rsidRPr="007B7E6F">
        <w:t xml:space="preserve"> </w:t>
      </w:r>
      <w:bookmarkEnd w:id="12"/>
      <w:r w:rsidRPr="00151AC7">
        <w:t xml:space="preserve">– </w:t>
      </w:r>
      <w:r w:rsidRPr="003014D8">
        <w:rPr>
          <w:bCs/>
          <w:color w:val="000000"/>
        </w:rPr>
        <w:t xml:space="preserve">vypracovať a dodať v termíne </w:t>
      </w:r>
      <w:r w:rsidRPr="003014D8">
        <w:rPr>
          <w:b/>
          <w:color w:val="000000"/>
        </w:rPr>
        <w:t xml:space="preserve">do </w:t>
      </w:r>
      <w:r w:rsidR="00D97071">
        <w:rPr>
          <w:b/>
        </w:rPr>
        <w:t>5</w:t>
      </w:r>
      <w:r w:rsidR="00666F43" w:rsidRPr="003014D8">
        <w:rPr>
          <w:b/>
        </w:rPr>
        <w:t xml:space="preserve"> týždňov</w:t>
      </w:r>
      <w:r w:rsidR="00666F43" w:rsidRPr="007B7E6F">
        <w:t xml:space="preserve"> od účinnosti zmluvy o</w:t>
      </w:r>
      <w:r w:rsidR="00666F43">
        <w:t> </w:t>
      </w:r>
      <w:r w:rsidR="00666F43" w:rsidRPr="007B7E6F">
        <w:t>dielo</w:t>
      </w:r>
      <w:r w:rsidR="00666F43">
        <w:t>.</w:t>
      </w:r>
    </w:p>
    <w:p w:rsidR="00542F2C" w:rsidRPr="00542F2C" w:rsidRDefault="00542F2C" w:rsidP="00542F2C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bookmarkStart w:id="13" w:name="_Hlk27657961"/>
      <w:r w:rsidRPr="00542F2C">
        <w:rPr>
          <w:b/>
          <w:bCs/>
        </w:rPr>
        <w:t>Dokumentácia meračských prác</w:t>
      </w:r>
      <w:r>
        <w:rPr>
          <w:b/>
          <w:bCs/>
        </w:rPr>
        <w:t xml:space="preserve"> </w:t>
      </w:r>
      <w:bookmarkEnd w:id="13"/>
      <w:r w:rsidRPr="00151AC7">
        <w:t xml:space="preserve">– </w:t>
      </w:r>
      <w:r w:rsidRPr="003014D8">
        <w:rPr>
          <w:bCs/>
          <w:color w:val="000000"/>
        </w:rPr>
        <w:t xml:space="preserve">vypracovať a dodať v termíne </w:t>
      </w:r>
      <w:r w:rsidRPr="003014D8">
        <w:rPr>
          <w:b/>
          <w:color w:val="000000"/>
        </w:rPr>
        <w:t xml:space="preserve">do </w:t>
      </w:r>
      <w:r w:rsidR="00D97071">
        <w:rPr>
          <w:b/>
        </w:rPr>
        <w:t>10</w:t>
      </w:r>
      <w:r w:rsidRPr="003014D8">
        <w:rPr>
          <w:b/>
        </w:rPr>
        <w:t xml:space="preserve"> týždňov</w:t>
      </w:r>
      <w:r w:rsidRPr="007B7E6F">
        <w:t xml:space="preserve"> od účinnosti zmluvy o</w:t>
      </w:r>
      <w:r>
        <w:t> </w:t>
      </w:r>
      <w:r w:rsidRPr="007B7E6F">
        <w:t>dielo</w:t>
      </w:r>
      <w:r>
        <w:t>.</w:t>
      </w:r>
    </w:p>
    <w:p w:rsidR="00666F43" w:rsidRDefault="003014D8" w:rsidP="007D4EDC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r>
        <w:rPr>
          <w:b/>
          <w:bCs/>
          <w:color w:val="000000"/>
        </w:rPr>
        <w:t>P</w:t>
      </w:r>
      <w:r w:rsidR="004B3EF3" w:rsidRPr="003014D8">
        <w:rPr>
          <w:b/>
          <w:bCs/>
          <w:color w:val="000000"/>
        </w:rPr>
        <w:t>rojekt</w:t>
      </w:r>
      <w:r w:rsidR="003E06EB">
        <w:rPr>
          <w:b/>
          <w:bCs/>
          <w:color w:val="000000"/>
        </w:rPr>
        <w:t>ov</w:t>
      </w:r>
      <w:r w:rsidR="00FF5463">
        <w:rPr>
          <w:b/>
          <w:bCs/>
          <w:color w:val="000000"/>
        </w:rPr>
        <w:t>á</w:t>
      </w:r>
      <w:r w:rsidR="003E06EB">
        <w:rPr>
          <w:b/>
          <w:bCs/>
          <w:color w:val="000000"/>
        </w:rPr>
        <w:t xml:space="preserve"> </w:t>
      </w:r>
      <w:r w:rsidR="003E06EB" w:rsidRPr="003E06EB">
        <w:rPr>
          <w:b/>
          <w:bCs/>
          <w:color w:val="000000"/>
        </w:rPr>
        <w:t>dokumentáci</w:t>
      </w:r>
      <w:r w:rsidR="00FF5463">
        <w:rPr>
          <w:b/>
          <w:bCs/>
          <w:color w:val="000000"/>
        </w:rPr>
        <w:t>a</w:t>
      </w:r>
      <w:r w:rsidR="003E06EB" w:rsidRPr="003E06EB">
        <w:rPr>
          <w:b/>
          <w:bCs/>
          <w:color w:val="000000"/>
        </w:rPr>
        <w:t xml:space="preserve"> </w:t>
      </w:r>
      <w:bookmarkStart w:id="14" w:name="_Hlk29548603"/>
      <w:r w:rsidR="00FF5463" w:rsidRPr="00FF5463">
        <w:rPr>
          <w:b/>
          <w:bCs/>
          <w:color w:val="000000"/>
        </w:rPr>
        <w:t>zmen</w:t>
      </w:r>
      <w:r w:rsidR="007D4EDC">
        <w:rPr>
          <w:b/>
          <w:bCs/>
          <w:color w:val="000000"/>
        </w:rPr>
        <w:t>y</w:t>
      </w:r>
      <w:r w:rsidR="00FF5463" w:rsidRPr="00FF5463">
        <w:rPr>
          <w:b/>
          <w:bCs/>
          <w:color w:val="000000"/>
        </w:rPr>
        <w:t xml:space="preserve"> organizácie dopravy pre povolenie vjazdu cyklistom obojsmerne do jednosmerných komunikácií v centre mesta a širšom okolí</w:t>
      </w:r>
      <w:r w:rsidR="007D4EDC">
        <w:rPr>
          <w:b/>
          <w:bCs/>
          <w:color w:val="000000"/>
        </w:rPr>
        <w:t>,</w:t>
      </w:r>
      <w:r w:rsidR="00FF5463">
        <w:rPr>
          <w:b/>
          <w:bCs/>
          <w:color w:val="000000"/>
        </w:rPr>
        <w:t xml:space="preserve"> </w:t>
      </w:r>
      <w:bookmarkEnd w:id="14"/>
      <w:r w:rsidR="007D4EDC" w:rsidRPr="007D4EDC">
        <w:rPr>
          <w:color w:val="000000"/>
        </w:rPr>
        <w:t>vrátane vyjadrení (príslušný dopravný inšpektorát, príslušná mestská časť, dotknuté príslušné úrady a organizácie)</w:t>
      </w:r>
      <w:r w:rsidR="007D4EDC" w:rsidRPr="007D4EDC">
        <w:rPr>
          <w:b/>
          <w:bCs/>
          <w:color w:val="000000"/>
        </w:rPr>
        <w:t xml:space="preserve"> </w:t>
      </w:r>
      <w:r w:rsidR="00FF5463">
        <w:rPr>
          <w:b/>
          <w:bCs/>
          <w:color w:val="000000"/>
        </w:rPr>
        <w:t xml:space="preserve">- </w:t>
      </w:r>
      <w:r w:rsidR="00666F43" w:rsidRPr="007B7E6F">
        <w:t xml:space="preserve">vypracovať a dodať v termíne do </w:t>
      </w:r>
      <w:bookmarkStart w:id="15" w:name="_Hlk33533772"/>
      <w:r w:rsidR="00D97071">
        <w:rPr>
          <w:b/>
        </w:rPr>
        <w:t>20</w:t>
      </w:r>
      <w:r w:rsidR="00666F43" w:rsidRPr="003014D8">
        <w:rPr>
          <w:b/>
        </w:rPr>
        <w:t xml:space="preserve"> týždňov</w:t>
      </w:r>
      <w:r w:rsidR="00666F43" w:rsidRPr="007B7E6F">
        <w:t xml:space="preserve"> </w:t>
      </w:r>
      <w:bookmarkEnd w:id="15"/>
      <w:r w:rsidR="00666F43" w:rsidRPr="007B7E6F">
        <w:t>od účinnosti zmluvy o dielo.</w:t>
      </w:r>
      <w:r w:rsidR="001D2186" w:rsidRPr="007B7E6F">
        <w:t xml:space="preserve"> </w:t>
      </w:r>
    </w:p>
    <w:p w:rsidR="00666F43" w:rsidRDefault="00313879" w:rsidP="00666F43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r w:rsidRPr="00666F43">
        <w:rPr>
          <w:b/>
          <w:bCs/>
        </w:rPr>
        <w:t xml:space="preserve">Miesto dodania: </w:t>
      </w:r>
      <w:r w:rsidRPr="00A24632">
        <w:t>sídlo verejného obstarávateľa</w:t>
      </w:r>
      <w:r w:rsidR="003D4A34">
        <w:t>.</w:t>
      </w:r>
    </w:p>
    <w:p w:rsidR="00313879" w:rsidRPr="003D4A34" w:rsidRDefault="00313879" w:rsidP="00666F43">
      <w:pPr>
        <w:pStyle w:val="Odsekzoznamu"/>
        <w:numPr>
          <w:ilvl w:val="0"/>
          <w:numId w:val="39"/>
        </w:numPr>
        <w:shd w:val="clear" w:color="auto" w:fill="FFFFFF"/>
        <w:spacing w:before="240" w:after="120" w:line="240" w:lineRule="auto"/>
        <w:jc w:val="both"/>
      </w:pPr>
      <w:r w:rsidRPr="00666F43">
        <w:rPr>
          <w:b/>
          <w:bCs/>
        </w:rPr>
        <w:t xml:space="preserve">Spôsob dodania: </w:t>
      </w:r>
      <w:r w:rsidR="00F731A9">
        <w:rPr>
          <w:bCs/>
        </w:rPr>
        <w:t>k</w:t>
      </w:r>
      <w:r w:rsidRPr="00666F43">
        <w:rPr>
          <w:bCs/>
        </w:rPr>
        <w:t>aždá časť dokumentácie musí byť v samostatnom obale označenom názvom príslušnej zákazky. Formát dodania dokumentácie: textová časť dokumentácie vo formátoch .doc a .pdf, výkresová časť dokumentácie vo formátoch pdf, dwg /</w:t>
      </w:r>
      <w:proofErr w:type="spellStart"/>
      <w:r w:rsidRPr="00666F43">
        <w:rPr>
          <w:bCs/>
        </w:rPr>
        <w:t>dgn</w:t>
      </w:r>
      <w:proofErr w:type="spellEnd"/>
      <w:r w:rsidRPr="00666F43">
        <w:rPr>
          <w:bCs/>
        </w:rPr>
        <w:t xml:space="preserve">, výkaz výmer a rozpočet vo formátoch </w:t>
      </w:r>
      <w:bookmarkStart w:id="16" w:name="_Hlk34046512"/>
      <w:r w:rsidRPr="00666F43">
        <w:rPr>
          <w:bCs/>
        </w:rPr>
        <w:t>xls</w:t>
      </w:r>
      <w:bookmarkEnd w:id="16"/>
      <w:r w:rsidRPr="00666F43">
        <w:rPr>
          <w:bCs/>
        </w:rPr>
        <w:t xml:space="preserve"> a pdf. </w:t>
      </w:r>
    </w:p>
    <w:p w:rsidR="003D4A34" w:rsidRDefault="003D4A34" w:rsidP="003D4A34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>
        <w:t>D</w:t>
      </w:r>
      <w:r w:rsidRPr="003D4A34">
        <w:t>okumentácie profilového sčítania dopravy</w:t>
      </w:r>
      <w:r>
        <w:t xml:space="preserve"> </w:t>
      </w:r>
      <w:r w:rsidRPr="002F5922">
        <w:rPr>
          <w:bCs/>
        </w:rPr>
        <w:t>v rozsahu</w:t>
      </w:r>
      <w:r w:rsidRPr="002F5922">
        <w:rPr>
          <w:b/>
          <w:bCs/>
        </w:rPr>
        <w:t xml:space="preserve"> </w:t>
      </w:r>
      <w:r>
        <w:rPr>
          <w:b/>
        </w:rPr>
        <w:t>2</w:t>
      </w:r>
      <w:r w:rsidRPr="00C97CBE">
        <w:rPr>
          <w:b/>
        </w:rPr>
        <w:t xml:space="preserve"> výtlačkov</w:t>
      </w:r>
      <w:r w:rsidRPr="002F5922">
        <w:rPr>
          <w:bCs/>
        </w:rPr>
        <w:t xml:space="preserve"> a v digitálnej forme na CD 1x</w:t>
      </w:r>
      <w:r w:rsidRPr="002F5922">
        <w:t xml:space="preserve">. </w:t>
      </w:r>
    </w:p>
    <w:p w:rsidR="00542F2C" w:rsidRPr="003D4A34" w:rsidRDefault="00542F2C" w:rsidP="00542F2C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 w:rsidRPr="00542F2C">
        <w:t>Dokumentácia meračských prác</w:t>
      </w:r>
      <w:r>
        <w:t xml:space="preserve"> </w:t>
      </w:r>
      <w:r w:rsidRPr="002F5922">
        <w:rPr>
          <w:bCs/>
        </w:rPr>
        <w:t>v rozsahu</w:t>
      </w:r>
      <w:r w:rsidRPr="002F5922">
        <w:rPr>
          <w:b/>
          <w:bCs/>
        </w:rPr>
        <w:t xml:space="preserve"> </w:t>
      </w:r>
      <w:r>
        <w:rPr>
          <w:b/>
        </w:rPr>
        <w:t>2</w:t>
      </w:r>
      <w:r w:rsidRPr="00C97CBE">
        <w:rPr>
          <w:b/>
        </w:rPr>
        <w:t xml:space="preserve"> výtlačkov</w:t>
      </w:r>
      <w:r w:rsidRPr="002F5922">
        <w:rPr>
          <w:bCs/>
        </w:rPr>
        <w:t xml:space="preserve"> a v digitálnej forme na CD 1x</w:t>
      </w:r>
      <w:r w:rsidRPr="002F5922">
        <w:t xml:space="preserve">. </w:t>
      </w:r>
    </w:p>
    <w:p w:rsidR="002A012C" w:rsidRDefault="00313879" w:rsidP="00313879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 w:rsidRPr="002F5922">
        <w:rPr>
          <w:bCs/>
        </w:rPr>
        <w:t xml:space="preserve">Projekt </w:t>
      </w:r>
      <w:r w:rsidR="00AD79BB" w:rsidRPr="00AD79BB">
        <w:rPr>
          <w:bCs/>
        </w:rPr>
        <w:t>zmen</w:t>
      </w:r>
      <w:r w:rsidR="007D4EDC">
        <w:rPr>
          <w:bCs/>
        </w:rPr>
        <w:t>y</w:t>
      </w:r>
      <w:r w:rsidR="00AD79BB" w:rsidRPr="00AD79BB">
        <w:rPr>
          <w:bCs/>
        </w:rPr>
        <w:t xml:space="preserve"> organizácie dopravy pre povolenie vjazdu cyklistom obojsmerne do jednosmerných komunikácií v centre mesta a širšom okolí </w:t>
      </w:r>
      <w:r w:rsidRPr="002F5922">
        <w:rPr>
          <w:bCs/>
        </w:rPr>
        <w:t>bude vyhotovený v rozsahu</w:t>
      </w:r>
      <w:r w:rsidRPr="002F5922">
        <w:rPr>
          <w:b/>
          <w:bCs/>
        </w:rPr>
        <w:t xml:space="preserve"> </w:t>
      </w:r>
      <w:r w:rsidRPr="00C97CBE">
        <w:rPr>
          <w:b/>
        </w:rPr>
        <w:t>6 výtlačkov</w:t>
      </w:r>
      <w:r w:rsidRPr="002F5922">
        <w:rPr>
          <w:bCs/>
        </w:rPr>
        <w:t xml:space="preserve"> a v digitálnej forme na CD 1x vo formátoch pdf a </w:t>
      </w:r>
      <w:proofErr w:type="spellStart"/>
      <w:r w:rsidRPr="002F5922">
        <w:rPr>
          <w:bCs/>
        </w:rPr>
        <w:t>dgn</w:t>
      </w:r>
      <w:proofErr w:type="spellEnd"/>
      <w:r w:rsidRPr="002F5922">
        <w:rPr>
          <w:bCs/>
        </w:rPr>
        <w:t>/dwg</w:t>
      </w:r>
      <w:r w:rsidRPr="002F5922">
        <w:t xml:space="preserve">. </w:t>
      </w:r>
    </w:p>
    <w:p w:rsidR="00313879" w:rsidRPr="002F5922" w:rsidRDefault="002A012C" w:rsidP="00313879">
      <w:pPr>
        <w:pStyle w:val="Odsekzoznamu"/>
        <w:numPr>
          <w:ilvl w:val="0"/>
          <w:numId w:val="14"/>
        </w:numPr>
        <w:shd w:val="clear" w:color="auto" w:fill="FFFFFF"/>
        <w:spacing w:before="240" w:after="120" w:line="240" w:lineRule="auto"/>
        <w:jc w:val="both"/>
      </w:pPr>
      <w:r>
        <w:t>S</w:t>
      </w:r>
      <w:r w:rsidR="00B91669" w:rsidRPr="005F10CB">
        <w:t>tanovisk</w:t>
      </w:r>
      <w:r>
        <w:t>o</w:t>
      </w:r>
      <w:r w:rsidR="00B91669" w:rsidRPr="005F10CB">
        <w:t xml:space="preserve"> príslušn</w:t>
      </w:r>
      <w:r w:rsidR="005F10CB" w:rsidRPr="005F10CB">
        <w:t>ého</w:t>
      </w:r>
      <w:r w:rsidR="00B91669" w:rsidRPr="005F10CB">
        <w:t xml:space="preserve"> dopravn</w:t>
      </w:r>
      <w:r w:rsidR="005F10CB" w:rsidRPr="005F10CB">
        <w:t>ého</w:t>
      </w:r>
      <w:r w:rsidR="00B91669" w:rsidRPr="005F10CB">
        <w:t xml:space="preserve"> inšpektorát</w:t>
      </w:r>
      <w:r w:rsidR="005F10CB" w:rsidRPr="005F10CB">
        <w:t>u</w:t>
      </w:r>
      <w:r w:rsidR="00B91669" w:rsidRPr="002F5922">
        <w:t xml:space="preserve"> </w:t>
      </w:r>
      <w:r w:rsidR="00313879" w:rsidRPr="002F5922">
        <w:t xml:space="preserve">– </w:t>
      </w:r>
      <w:r w:rsidR="00313879" w:rsidRPr="00C97CBE">
        <w:rPr>
          <w:b/>
          <w:bCs/>
        </w:rPr>
        <w:t>1 ks tlačený originál vyjadrenia</w:t>
      </w:r>
      <w:r w:rsidR="005F10CB" w:rsidRPr="00C97CBE">
        <w:rPr>
          <w:b/>
          <w:bCs/>
        </w:rPr>
        <w:t xml:space="preserve"> a</w:t>
      </w:r>
      <w:r w:rsidR="00F545B1" w:rsidRPr="00C97CBE">
        <w:rPr>
          <w:b/>
          <w:bCs/>
        </w:rPr>
        <w:t> 1x</w:t>
      </w:r>
      <w:r w:rsidR="00581513">
        <w:rPr>
          <w:b/>
          <w:bCs/>
        </w:rPr>
        <w:t xml:space="preserve"> </w:t>
      </w:r>
      <w:r w:rsidR="005F10CB" w:rsidRPr="00C97CBE">
        <w:rPr>
          <w:b/>
          <w:bCs/>
        </w:rPr>
        <w:t>opečiatkovan</w:t>
      </w:r>
      <w:r w:rsidR="005D5629">
        <w:rPr>
          <w:b/>
          <w:bCs/>
        </w:rPr>
        <w:t>é</w:t>
      </w:r>
      <w:r w:rsidR="005F10CB" w:rsidRPr="00C97CBE">
        <w:rPr>
          <w:b/>
          <w:bCs/>
        </w:rPr>
        <w:t xml:space="preserve"> výkres</w:t>
      </w:r>
      <w:r w:rsidR="005D5629">
        <w:rPr>
          <w:b/>
          <w:bCs/>
        </w:rPr>
        <w:t>y</w:t>
      </w:r>
      <w:r w:rsidR="00F545B1">
        <w:t xml:space="preserve"> </w:t>
      </w:r>
      <w:r w:rsidR="005D5629">
        <w:t xml:space="preserve">jednotlivých </w:t>
      </w:r>
      <w:r w:rsidR="00F545B1">
        <w:t>jednosmern</w:t>
      </w:r>
      <w:r w:rsidR="005D5629">
        <w:t>ých</w:t>
      </w:r>
      <w:r w:rsidR="00F545B1">
        <w:t xml:space="preserve"> komunikácii</w:t>
      </w:r>
      <w:r w:rsidR="00313879" w:rsidRPr="002F5922">
        <w:t>, 1 krát digitálne v PDF formáte na CD nosiči.</w:t>
      </w:r>
    </w:p>
    <w:p w:rsidR="00E572A4" w:rsidRDefault="00E572A4" w:rsidP="00313879"/>
    <w:p w:rsidR="00313879" w:rsidRPr="002F5922" w:rsidRDefault="00313879" w:rsidP="00313879">
      <w:r w:rsidRPr="002F5922">
        <w:t>V Košiciach .......................................</w:t>
      </w:r>
    </w:p>
    <w:p w:rsidR="00313879" w:rsidRPr="002F5922" w:rsidRDefault="00313879" w:rsidP="00313879"/>
    <w:p w:rsidR="002669F2" w:rsidRPr="008C4430" w:rsidRDefault="00313879" w:rsidP="007D4EDC">
      <w:r w:rsidRPr="002F5922">
        <w:t>Spracoval</w:t>
      </w:r>
      <w:r>
        <w:t>i</w:t>
      </w:r>
      <w:r w:rsidRPr="002F5922">
        <w:t xml:space="preserve">: </w:t>
      </w:r>
      <w:r w:rsidRPr="002F5922">
        <w:rPr>
          <w:rFonts w:cstheme="minorHAnsi"/>
        </w:rPr>
        <w:t xml:space="preserve"> </w:t>
      </w:r>
      <w:r w:rsidRPr="002F5922">
        <w:t>RNDr. Urbanovičová Veronika PhD</w:t>
      </w:r>
      <w:r>
        <w:t>, Ing. Rybár Martin</w:t>
      </w:r>
    </w:p>
    <w:sectPr w:rsidR="002669F2" w:rsidRPr="008C4430" w:rsidSect="00A4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483"/>
    <w:multiLevelType w:val="hybridMultilevel"/>
    <w:tmpl w:val="7734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89C"/>
    <w:multiLevelType w:val="hybridMultilevel"/>
    <w:tmpl w:val="2F0A2034"/>
    <w:lvl w:ilvl="0" w:tplc="B1045C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76DB"/>
    <w:multiLevelType w:val="hybridMultilevel"/>
    <w:tmpl w:val="13EC95A8"/>
    <w:lvl w:ilvl="0" w:tplc="6AC477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65B46"/>
    <w:multiLevelType w:val="hybridMultilevel"/>
    <w:tmpl w:val="882449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21301"/>
    <w:multiLevelType w:val="hybridMultilevel"/>
    <w:tmpl w:val="DE6465CE"/>
    <w:lvl w:ilvl="0" w:tplc="FFA2A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85991"/>
    <w:multiLevelType w:val="hybridMultilevel"/>
    <w:tmpl w:val="4D1694A4"/>
    <w:lvl w:ilvl="0" w:tplc="F30ED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C3C"/>
    <w:multiLevelType w:val="hybridMultilevel"/>
    <w:tmpl w:val="3C3660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832E6"/>
    <w:multiLevelType w:val="hybridMultilevel"/>
    <w:tmpl w:val="CED0B8D2"/>
    <w:lvl w:ilvl="0" w:tplc="A07A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55E71"/>
    <w:multiLevelType w:val="hybridMultilevel"/>
    <w:tmpl w:val="EF6A617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7A1C90"/>
    <w:multiLevelType w:val="hybridMultilevel"/>
    <w:tmpl w:val="DDF828A2"/>
    <w:lvl w:ilvl="0" w:tplc="5BD21A9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777B"/>
    <w:multiLevelType w:val="hybridMultilevel"/>
    <w:tmpl w:val="DFE609A4"/>
    <w:lvl w:ilvl="0" w:tplc="973EAB7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5FA22DD"/>
    <w:multiLevelType w:val="hybridMultilevel"/>
    <w:tmpl w:val="84BC8D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4B90"/>
    <w:multiLevelType w:val="hybridMultilevel"/>
    <w:tmpl w:val="0EA8A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6F5E"/>
    <w:multiLevelType w:val="hybridMultilevel"/>
    <w:tmpl w:val="4D1694A4"/>
    <w:lvl w:ilvl="0" w:tplc="F30ED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C1C2C"/>
    <w:multiLevelType w:val="hybridMultilevel"/>
    <w:tmpl w:val="DD4C62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230858"/>
    <w:multiLevelType w:val="hybridMultilevel"/>
    <w:tmpl w:val="6C0C99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543B7"/>
    <w:multiLevelType w:val="hybridMultilevel"/>
    <w:tmpl w:val="DE6465CE"/>
    <w:lvl w:ilvl="0" w:tplc="FFA2AE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234E"/>
    <w:multiLevelType w:val="hybridMultilevel"/>
    <w:tmpl w:val="220C7D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40849"/>
    <w:multiLevelType w:val="hybridMultilevel"/>
    <w:tmpl w:val="FF34F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C395E"/>
    <w:multiLevelType w:val="hybridMultilevel"/>
    <w:tmpl w:val="C86C709A"/>
    <w:lvl w:ilvl="0" w:tplc="47085C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083B"/>
    <w:multiLevelType w:val="hybridMultilevel"/>
    <w:tmpl w:val="1102DD04"/>
    <w:lvl w:ilvl="0" w:tplc="C330C1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40BFD"/>
    <w:multiLevelType w:val="hybridMultilevel"/>
    <w:tmpl w:val="2FD43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14329"/>
    <w:multiLevelType w:val="hybridMultilevel"/>
    <w:tmpl w:val="56824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12B37"/>
    <w:multiLevelType w:val="hybridMultilevel"/>
    <w:tmpl w:val="7A603FF2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72395"/>
    <w:multiLevelType w:val="hybridMultilevel"/>
    <w:tmpl w:val="814CB8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A089D"/>
    <w:multiLevelType w:val="hybridMultilevel"/>
    <w:tmpl w:val="C2FCD7F4"/>
    <w:lvl w:ilvl="0" w:tplc="8244E9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55469"/>
    <w:multiLevelType w:val="hybridMultilevel"/>
    <w:tmpl w:val="944C97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49A2293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C3CCB"/>
    <w:multiLevelType w:val="hybridMultilevel"/>
    <w:tmpl w:val="FE14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6216E"/>
    <w:multiLevelType w:val="hybridMultilevel"/>
    <w:tmpl w:val="2D6A8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A10A5"/>
    <w:multiLevelType w:val="hybridMultilevel"/>
    <w:tmpl w:val="220C7D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0D72"/>
    <w:multiLevelType w:val="hybridMultilevel"/>
    <w:tmpl w:val="E30CF95E"/>
    <w:lvl w:ilvl="0" w:tplc="51D25D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E1201"/>
    <w:multiLevelType w:val="hybridMultilevel"/>
    <w:tmpl w:val="C7FA7CB8"/>
    <w:lvl w:ilvl="0" w:tplc="973EA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6D1F01"/>
    <w:multiLevelType w:val="hybridMultilevel"/>
    <w:tmpl w:val="679C6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1657E"/>
    <w:multiLevelType w:val="hybridMultilevel"/>
    <w:tmpl w:val="9A7057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416A7C"/>
    <w:multiLevelType w:val="hybridMultilevel"/>
    <w:tmpl w:val="D2A22C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F6943"/>
    <w:multiLevelType w:val="hybridMultilevel"/>
    <w:tmpl w:val="84BCADFE"/>
    <w:lvl w:ilvl="0" w:tplc="F3ACD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53217"/>
    <w:multiLevelType w:val="hybridMultilevel"/>
    <w:tmpl w:val="2CDEA7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F3357"/>
    <w:multiLevelType w:val="hybridMultilevel"/>
    <w:tmpl w:val="A3C89EAA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03EBF"/>
    <w:multiLevelType w:val="hybridMultilevel"/>
    <w:tmpl w:val="00FAB12C"/>
    <w:lvl w:ilvl="0" w:tplc="7DC2E76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117EAE"/>
    <w:multiLevelType w:val="hybridMultilevel"/>
    <w:tmpl w:val="3F065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0"/>
  </w:num>
  <w:num w:numId="4">
    <w:abstractNumId w:val="20"/>
  </w:num>
  <w:num w:numId="5">
    <w:abstractNumId w:val="11"/>
  </w:num>
  <w:num w:numId="6">
    <w:abstractNumId w:val="19"/>
  </w:num>
  <w:num w:numId="7">
    <w:abstractNumId w:val="32"/>
  </w:num>
  <w:num w:numId="8">
    <w:abstractNumId w:val="6"/>
  </w:num>
  <w:num w:numId="9">
    <w:abstractNumId w:val="26"/>
  </w:num>
  <w:num w:numId="10">
    <w:abstractNumId w:val="23"/>
  </w:num>
  <w:num w:numId="11">
    <w:abstractNumId w:val="28"/>
  </w:num>
  <w:num w:numId="12">
    <w:abstractNumId w:val="1"/>
  </w:num>
  <w:num w:numId="13">
    <w:abstractNumId w:val="10"/>
  </w:num>
  <w:num w:numId="14">
    <w:abstractNumId w:val="31"/>
  </w:num>
  <w:num w:numId="15">
    <w:abstractNumId w:val="37"/>
  </w:num>
  <w:num w:numId="16">
    <w:abstractNumId w:val="13"/>
  </w:num>
  <w:num w:numId="17">
    <w:abstractNumId w:val="27"/>
  </w:num>
  <w:num w:numId="18">
    <w:abstractNumId w:val="2"/>
  </w:num>
  <w:num w:numId="19">
    <w:abstractNumId w:val="17"/>
  </w:num>
  <w:num w:numId="20">
    <w:abstractNumId w:val="30"/>
  </w:num>
  <w:num w:numId="21">
    <w:abstractNumId w:val="39"/>
  </w:num>
  <w:num w:numId="22">
    <w:abstractNumId w:val="22"/>
  </w:num>
  <w:num w:numId="23">
    <w:abstractNumId w:val="7"/>
  </w:num>
  <w:num w:numId="24">
    <w:abstractNumId w:val="21"/>
  </w:num>
  <w:num w:numId="25">
    <w:abstractNumId w:val="29"/>
  </w:num>
  <w:num w:numId="26">
    <w:abstractNumId w:val="3"/>
  </w:num>
  <w:num w:numId="27">
    <w:abstractNumId w:val="33"/>
  </w:num>
  <w:num w:numId="28">
    <w:abstractNumId w:val="8"/>
  </w:num>
  <w:num w:numId="29">
    <w:abstractNumId w:val="12"/>
  </w:num>
  <w:num w:numId="30">
    <w:abstractNumId w:val="34"/>
  </w:num>
  <w:num w:numId="31">
    <w:abstractNumId w:val="25"/>
  </w:num>
  <w:num w:numId="32">
    <w:abstractNumId w:val="16"/>
  </w:num>
  <w:num w:numId="33">
    <w:abstractNumId w:val="4"/>
  </w:num>
  <w:num w:numId="34">
    <w:abstractNumId w:val="9"/>
  </w:num>
  <w:num w:numId="35">
    <w:abstractNumId w:val="14"/>
  </w:num>
  <w:num w:numId="36">
    <w:abstractNumId w:val="18"/>
  </w:num>
  <w:num w:numId="37">
    <w:abstractNumId w:val="35"/>
  </w:num>
  <w:num w:numId="38">
    <w:abstractNumId w:val="24"/>
  </w:num>
  <w:num w:numId="39">
    <w:abstractNumId w:val="38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080"/>
    <w:rsid w:val="00006D09"/>
    <w:rsid w:val="0006018E"/>
    <w:rsid w:val="000914E9"/>
    <w:rsid w:val="000C74A9"/>
    <w:rsid w:val="000D65AD"/>
    <w:rsid w:val="00104C16"/>
    <w:rsid w:val="00105BB8"/>
    <w:rsid w:val="00121AB6"/>
    <w:rsid w:val="00162F91"/>
    <w:rsid w:val="00175CD6"/>
    <w:rsid w:val="001A3C79"/>
    <w:rsid w:val="001D0176"/>
    <w:rsid w:val="001D2186"/>
    <w:rsid w:val="001F158B"/>
    <w:rsid w:val="00207DAB"/>
    <w:rsid w:val="00216ED9"/>
    <w:rsid w:val="00244263"/>
    <w:rsid w:val="00252286"/>
    <w:rsid w:val="002669F2"/>
    <w:rsid w:val="00284197"/>
    <w:rsid w:val="002909C0"/>
    <w:rsid w:val="002A012C"/>
    <w:rsid w:val="002D5756"/>
    <w:rsid w:val="002E47DD"/>
    <w:rsid w:val="003014D8"/>
    <w:rsid w:val="00313879"/>
    <w:rsid w:val="00324C61"/>
    <w:rsid w:val="00342D2F"/>
    <w:rsid w:val="00344080"/>
    <w:rsid w:val="003501B6"/>
    <w:rsid w:val="003712CC"/>
    <w:rsid w:val="003C19DF"/>
    <w:rsid w:val="003D4A34"/>
    <w:rsid w:val="003D7C70"/>
    <w:rsid w:val="003E06EB"/>
    <w:rsid w:val="003E0D43"/>
    <w:rsid w:val="003F48B5"/>
    <w:rsid w:val="0043273A"/>
    <w:rsid w:val="0046487C"/>
    <w:rsid w:val="0048100F"/>
    <w:rsid w:val="004854C6"/>
    <w:rsid w:val="00495CDC"/>
    <w:rsid w:val="004B3EF3"/>
    <w:rsid w:val="004B7E67"/>
    <w:rsid w:val="00506C13"/>
    <w:rsid w:val="005411BA"/>
    <w:rsid w:val="00542F2C"/>
    <w:rsid w:val="00547B1F"/>
    <w:rsid w:val="00581513"/>
    <w:rsid w:val="0058397F"/>
    <w:rsid w:val="0059048F"/>
    <w:rsid w:val="005D5629"/>
    <w:rsid w:val="005F10CB"/>
    <w:rsid w:val="0061200C"/>
    <w:rsid w:val="006507E7"/>
    <w:rsid w:val="00666F43"/>
    <w:rsid w:val="00673687"/>
    <w:rsid w:val="0068158F"/>
    <w:rsid w:val="00692F05"/>
    <w:rsid w:val="0069330C"/>
    <w:rsid w:val="00696FE1"/>
    <w:rsid w:val="006A4122"/>
    <w:rsid w:val="006B55E6"/>
    <w:rsid w:val="006F45D3"/>
    <w:rsid w:val="00706AC2"/>
    <w:rsid w:val="00730250"/>
    <w:rsid w:val="00735F5B"/>
    <w:rsid w:val="007419EE"/>
    <w:rsid w:val="007514EF"/>
    <w:rsid w:val="0076536A"/>
    <w:rsid w:val="007932E5"/>
    <w:rsid w:val="007B7E6F"/>
    <w:rsid w:val="007D4EDC"/>
    <w:rsid w:val="0080414D"/>
    <w:rsid w:val="008106F6"/>
    <w:rsid w:val="0082754C"/>
    <w:rsid w:val="008307AF"/>
    <w:rsid w:val="0083320C"/>
    <w:rsid w:val="008A0F1B"/>
    <w:rsid w:val="008B135A"/>
    <w:rsid w:val="008C4430"/>
    <w:rsid w:val="008E084E"/>
    <w:rsid w:val="008E20D1"/>
    <w:rsid w:val="00992627"/>
    <w:rsid w:val="009931C0"/>
    <w:rsid w:val="009C7EA2"/>
    <w:rsid w:val="009D39C1"/>
    <w:rsid w:val="009E6824"/>
    <w:rsid w:val="00A03D78"/>
    <w:rsid w:val="00A27BDB"/>
    <w:rsid w:val="00A416C4"/>
    <w:rsid w:val="00A43EAB"/>
    <w:rsid w:val="00A54C0D"/>
    <w:rsid w:val="00A712AD"/>
    <w:rsid w:val="00A75338"/>
    <w:rsid w:val="00A823AF"/>
    <w:rsid w:val="00AC32B7"/>
    <w:rsid w:val="00AC594A"/>
    <w:rsid w:val="00AD79BB"/>
    <w:rsid w:val="00AE5E79"/>
    <w:rsid w:val="00AF3CAF"/>
    <w:rsid w:val="00AF6437"/>
    <w:rsid w:val="00B10C1A"/>
    <w:rsid w:val="00B12169"/>
    <w:rsid w:val="00B52406"/>
    <w:rsid w:val="00B640D7"/>
    <w:rsid w:val="00B72324"/>
    <w:rsid w:val="00B91669"/>
    <w:rsid w:val="00B94EFF"/>
    <w:rsid w:val="00BA26B7"/>
    <w:rsid w:val="00C03B2F"/>
    <w:rsid w:val="00C06564"/>
    <w:rsid w:val="00C812A1"/>
    <w:rsid w:val="00C834F1"/>
    <w:rsid w:val="00C91F96"/>
    <w:rsid w:val="00C97CBE"/>
    <w:rsid w:val="00CA4DFF"/>
    <w:rsid w:val="00D044A4"/>
    <w:rsid w:val="00D27238"/>
    <w:rsid w:val="00D3245C"/>
    <w:rsid w:val="00D3647D"/>
    <w:rsid w:val="00D425F2"/>
    <w:rsid w:val="00D53972"/>
    <w:rsid w:val="00D83AD7"/>
    <w:rsid w:val="00D91BA2"/>
    <w:rsid w:val="00D97071"/>
    <w:rsid w:val="00DC7739"/>
    <w:rsid w:val="00DD336A"/>
    <w:rsid w:val="00E00BB6"/>
    <w:rsid w:val="00E042C7"/>
    <w:rsid w:val="00E572A4"/>
    <w:rsid w:val="00E66CB2"/>
    <w:rsid w:val="00EB6EEF"/>
    <w:rsid w:val="00EE4BDB"/>
    <w:rsid w:val="00F1426E"/>
    <w:rsid w:val="00F17AFC"/>
    <w:rsid w:val="00F44295"/>
    <w:rsid w:val="00F545B1"/>
    <w:rsid w:val="00F619E1"/>
    <w:rsid w:val="00F731A9"/>
    <w:rsid w:val="00F90BF3"/>
    <w:rsid w:val="00F95BDD"/>
    <w:rsid w:val="00FD72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DA6B74"/>
  <w15:docId w15:val="{391BBCCA-DDEC-4AAE-AB43-2FFC60EC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E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344080"/>
    <w:pPr>
      <w:ind w:left="720"/>
      <w:contextualSpacing/>
    </w:pPr>
  </w:style>
  <w:style w:type="paragraph" w:styleId="Bezriadkovania">
    <w:name w:val="No Spacing"/>
    <w:uiPriority w:val="1"/>
    <w:qFormat/>
    <w:rsid w:val="00EE4BDB"/>
    <w:pPr>
      <w:spacing w:after="0" w:line="240" w:lineRule="auto"/>
    </w:pPr>
  </w:style>
  <w:style w:type="paragraph" w:customStyle="1" w:styleId="a">
    <w:basedOn w:val="Normlny"/>
    <w:next w:val="Textvysvetlivky"/>
    <w:link w:val="TextkoncovejpoznmkyChar"/>
    <w:rsid w:val="004B3EF3"/>
    <w:pPr>
      <w:spacing w:after="240" w:line="240" w:lineRule="auto"/>
      <w:jc w:val="both"/>
    </w:pPr>
    <w:rPr>
      <w:lang w:val="fr-FR" w:eastAsia="cs-CZ"/>
    </w:rPr>
  </w:style>
  <w:style w:type="character" w:customStyle="1" w:styleId="TextkoncovejpoznmkyChar">
    <w:name w:val="Text koncovej poznámky Char"/>
    <w:basedOn w:val="Predvolenpsmoodseku"/>
    <w:link w:val="a"/>
    <w:semiHidden/>
    <w:rsid w:val="004B3EF3"/>
    <w:rPr>
      <w:lang w:val="fr-FR" w:eastAsia="cs-CZ" w:bidi="ar-SA"/>
    </w:rPr>
  </w:style>
  <w:style w:type="paragraph" w:styleId="Hlavika">
    <w:name w:val="header"/>
    <w:basedOn w:val="Normlny"/>
    <w:link w:val="HlavikaChar"/>
    <w:rsid w:val="004B3EF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4B3E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Rub1">
    <w:name w:val="Rub1"/>
    <w:basedOn w:val="Normlny"/>
    <w:rsid w:val="004B3EF3"/>
    <w:pPr>
      <w:tabs>
        <w:tab w:val="left" w:pos="1276"/>
      </w:tabs>
      <w:spacing w:after="0" w:line="240" w:lineRule="auto"/>
      <w:jc w:val="both"/>
    </w:pPr>
    <w:rPr>
      <w:rFonts w:ascii="Times New Roman Bold" w:eastAsia="Times New Roman" w:hAnsi="Times New Roman Bold" w:cs="Times New Roman"/>
      <w:smallCaps/>
      <w:sz w:val="20"/>
      <w:szCs w:val="20"/>
      <w:lang w:val="en-GB" w:eastAsia="en-GB"/>
    </w:rPr>
  </w:style>
  <w:style w:type="character" w:styleId="Hypertextovprepojenie">
    <w:name w:val="Hyperlink"/>
    <w:basedOn w:val="Predvolenpsmoodseku"/>
    <w:rsid w:val="004B3EF3"/>
    <w:rPr>
      <w:color w:val="0000FF"/>
      <w:u w:val="single"/>
    </w:rPr>
  </w:style>
  <w:style w:type="character" w:customStyle="1" w:styleId="formtext1">
    <w:name w:val="formtext1"/>
    <w:basedOn w:val="Predvolenpsmoodseku"/>
    <w:rsid w:val="004B3EF3"/>
    <w:rPr>
      <w:rFonts w:ascii="Verdana" w:hAnsi="Verdana" w:hint="default"/>
      <w:sz w:val="20"/>
      <w:szCs w:val="20"/>
    </w:rPr>
  </w:style>
  <w:style w:type="character" w:styleId="CitciaHTML">
    <w:name w:val="HTML Cite"/>
    <w:basedOn w:val="Predvolenpsmoodseku"/>
    <w:rsid w:val="004B3EF3"/>
    <w:rPr>
      <w:i w:val="0"/>
      <w:iCs w:val="0"/>
      <w:color w:val="0E774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3EF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3EF3"/>
    <w:rPr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04C1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7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Urbanovicova</dc:creator>
  <cp:keywords/>
  <dc:description/>
  <cp:lastModifiedBy>Veronika Urbanovicova</cp:lastModifiedBy>
  <cp:revision>20</cp:revision>
  <cp:lastPrinted>2020-04-23T13:18:00Z</cp:lastPrinted>
  <dcterms:created xsi:type="dcterms:W3CDTF">2020-02-25T07:21:00Z</dcterms:created>
  <dcterms:modified xsi:type="dcterms:W3CDTF">2020-06-24T08:04:00Z</dcterms:modified>
</cp:coreProperties>
</file>