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6350"/>
        <w:gridCol w:w="3515"/>
      </w:tblGrid>
      <w:tr>
        <w:tc>
          <w:tcPr>
            <w:tcW w:type="dxa" w:w="5100"/>
            <w:tcMar>
              <w:top w:w="0" w:type="dxa"/>
              <w:start w:w="0" w:type="dxa"/>
              <w:bottom w:w="0" w:type="dxa"/>
              <w:end w:w="0" w:type="dxa"/>
            </w:tcMar>
          </w:tcPr>
          <w:p>
            <w:r>
              <w:rPr>
                <w:rFonts w:ascii="Calibri" w:hAnsi="Calibri"/>
                <w:b/>
                <w:i w:val="0"/>
                <w:color w:val="1F4E78"/>
                <w:sz w:val="26"/>
              </w:rPr>
              <w:t>PREMIUM MEAT s. r. o.</w:t>
            </w:r>
          </w:p>
          <w:p>
            <w:r>
              <w:rPr>
                <w:rFonts w:ascii="Calibri" w:hAnsi="Calibri"/>
                <w:b w:val="0"/>
                <w:i w:val="0"/>
                <w:color w:val="1F1F1F"/>
                <w:sz w:val="19"/>
              </w:rPr>
              <w:t>Salka 181, 943 61 Salka</w:t>
            </w:r>
          </w:p>
        </w:tc>
        <w:tc>
          <w:tcPr>
            <w:tcW w:type="dxa" w:w="5100"/>
            <w:tcMar>
              <w:top w:w="0" w:type="dxa"/>
              <w:start w:w="0" w:type="dxa"/>
              <w:bottom w:w="0" w:type="dxa"/>
              <w:end w:w="0" w:type="dxa"/>
            </w:tcMar>
          </w:tcPr>
          <w:p>
            <w:pPr>
              <w:jc w:val="right"/>
            </w:pPr>
            <w:r>
              <w:rPr>
                <w:rFonts w:ascii="Calibri" w:hAnsi="Calibri"/>
                <w:b/>
                <w:i w:val="0"/>
                <w:color w:val="1F1F1F"/>
                <w:sz w:val="19"/>
              </w:rPr>
              <w:t>IČO: 54 965 161</w:t>
            </w:r>
          </w:p>
          <w:p>
            <w:pPr>
              <w:jc w:val="right"/>
            </w:pPr>
            <w:r>
              <w:rPr>
                <w:rFonts w:ascii="Calibri" w:hAnsi="Calibri"/>
                <w:b w:val="0"/>
                <w:i w:val="0"/>
                <w:color w:val="1F1F1F"/>
                <w:sz w:val="19"/>
              </w:rPr>
              <w:t>DIČ: 2121835298</w:t>
            </w:r>
          </w:p>
          <w:p>
            <w:pPr>
              <w:jc w:val="right"/>
            </w:pPr>
            <w:r>
              <w:rPr>
                <w:rFonts w:ascii="Calibri" w:hAnsi="Calibri"/>
                <w:b w:val="0"/>
                <w:i w:val="0"/>
                <w:color w:val="1F1F1F"/>
                <w:sz w:val="19"/>
              </w:rPr>
              <w:t>IČ DPH: SK2121835298</w:t>
            </w:r>
          </w:p>
        </w:tc>
      </w:tr>
    </w:tbl>
    <w:p>
      <w:pPr>
        <w:spacing w:before="160"/>
        <w:jc w:val="center"/>
      </w:pPr>
      <w:r>
        <w:rPr>
          <w:rFonts w:ascii="Calibri" w:hAnsi="Calibri"/>
          <w:b/>
          <w:i w:val="0"/>
          <w:color w:val="1F4E78"/>
          <w:sz w:val="28"/>
        </w:rPr>
        <w:t>VÝZVA NA PREDLOŽENIE CENOVEJ PONUKY</w:t>
      </w:r>
    </w:p>
    <w:p>
      <w:pPr>
        <w:jc w:val="center"/>
      </w:pPr>
      <w:r>
        <w:rPr>
          <w:rFonts w:ascii="Calibri" w:hAnsi="Calibri"/>
          <w:b/>
          <w:i w:val="0"/>
          <w:color w:val="1F1F1F"/>
          <w:sz w:val="22"/>
        </w:rPr>
        <w:t>prieskum trhu za účelom stanovenia predpokladanej hodnoty zákazky (PHZ)</w:t>
      </w:r>
    </w:p>
    <w:p>
      <w:r>
        <w:rPr>
          <w:rFonts w:ascii="Calibri" w:hAnsi="Calibri"/>
          <w:b/>
          <w:i w:val="0"/>
          <w:color w:val="1F1F1F"/>
          <w:sz w:val="21"/>
        </w:rPr>
        <w:t xml:space="preserve">Vec: </w:t>
      </w:r>
      <w:r>
        <w:rPr>
          <w:rFonts w:ascii="Calibri" w:hAnsi="Calibri"/>
          <w:b w:val="0"/>
          <w:i w:val="0"/>
          <w:color w:val="1F1F1F"/>
          <w:sz w:val="21"/>
        </w:rPr>
        <w:t>Výzva na predloženie cenovej ponuky v rámci prieskumu trhu na zákazku „Vákuový plniaci, porcovací a pretáčací systém pre spracovanie mäsa s príslušenstvom a vyklápačom“.</w:t>
      </w:r>
    </w:p>
    <w:p>
      <w:r>
        <w:rPr>
          <w:rFonts w:ascii="Calibri" w:hAnsi="Calibri"/>
          <w:b w:val="0"/>
          <w:i w:val="0"/>
          <w:color w:val="1F1F1F"/>
          <w:sz w:val="21"/>
        </w:rPr>
        <w:t>Premium Meat s. r. o. ako žiadateľ / vyhlasovateľ týmto žiada potenciálneho dodávateľa o predloženie nezáväznej cenovej ponuky na účely určenia PHZ. Prieskum trhu sa realizuje prostredníctvom elektronického obstarávacieho systému JOSEPHINE v súlade s Metodickým usmernením Riadiaceho orgánu č. 2/2025, verzia 2, účinným od 03.02.2026, a s podmienkami výzvy č. 9/SP/2026-73.7.</w:t>
      </w:r>
    </w:p>
    <w:p>
      <w:pPr>
        <w:spacing w:before="160" w:after="80"/>
      </w:pPr>
      <w:r>
        <w:rPr>
          <w:rFonts w:ascii="Calibri" w:hAnsi="Calibri"/>
          <w:b/>
          <w:i w:val="0"/>
          <w:color w:val="1F4E78"/>
          <w:sz w:val="23"/>
        </w:rPr>
        <w:t>1. IDENTIFIKÁCIA ŽIADATEĽA / VYHLASOVATEĽA</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5100"/>
        <w:gridCol w:w="5100"/>
      </w:tblGrid>
      <w:tr>
        <w:tc>
          <w:tcPr>
            <w:tcW w:type="dxa" w:w="3118"/>
            <w:shd w:fill="D9EAF7"/>
            <w:vAlign w:val="center"/>
            <w:tcMar>
              <w:top w:w="70" w:type="dxa"/>
              <w:start w:w="90" w:type="dxa"/>
              <w:bottom w:w="70" w:type="dxa"/>
              <w:end w:w="90" w:type="dxa"/>
            </w:tcMar>
          </w:tcPr>
          <w:p>
            <w:r>
              <w:rPr>
                <w:rFonts w:ascii="Calibri" w:hAnsi="Calibri"/>
                <w:b/>
                <w:i w:val="0"/>
                <w:color w:val="1F1F1F"/>
                <w:sz w:val="19"/>
              </w:rPr>
              <w:t>Obchodné meno</w:t>
            </w:r>
          </w:p>
        </w:tc>
        <w:tc>
          <w:tcPr>
            <w:tcW w:type="dxa" w:w="6520"/>
            <w:vAlign w:val="center"/>
            <w:tcMar>
              <w:top w:w="70" w:type="dxa"/>
              <w:start w:w="90" w:type="dxa"/>
              <w:bottom w:w="70" w:type="dxa"/>
              <w:end w:w="90" w:type="dxa"/>
            </w:tcMar>
          </w:tcPr>
          <w:p>
            <w:r>
              <w:rPr>
                <w:rFonts w:ascii="Calibri" w:hAnsi="Calibri"/>
                <w:b w:val="0"/>
                <w:i w:val="0"/>
                <w:color w:val="1F1F1F"/>
                <w:sz w:val="19"/>
              </w:rPr>
              <w:t>Premium Meat s. r. o.</w:t>
            </w:r>
          </w:p>
        </w:tc>
      </w:tr>
      <w:tr>
        <w:tc>
          <w:tcPr>
            <w:tcW w:type="dxa" w:w="3118"/>
            <w:shd w:fill="D9EAF7"/>
            <w:vAlign w:val="center"/>
            <w:tcMar>
              <w:top w:w="70" w:type="dxa"/>
              <w:start w:w="90" w:type="dxa"/>
              <w:bottom w:w="70" w:type="dxa"/>
              <w:end w:w="90" w:type="dxa"/>
            </w:tcMar>
          </w:tcPr>
          <w:p>
            <w:r>
              <w:rPr>
                <w:rFonts w:ascii="Calibri" w:hAnsi="Calibri"/>
                <w:b/>
                <w:i w:val="0"/>
                <w:color w:val="1F1F1F"/>
                <w:sz w:val="19"/>
              </w:rPr>
              <w:t>Sídlo</w:t>
            </w:r>
          </w:p>
        </w:tc>
        <w:tc>
          <w:tcPr>
            <w:tcW w:type="dxa" w:w="6520"/>
            <w:vAlign w:val="center"/>
            <w:tcMar>
              <w:top w:w="70" w:type="dxa"/>
              <w:start w:w="90" w:type="dxa"/>
              <w:bottom w:w="70" w:type="dxa"/>
              <w:end w:w="90" w:type="dxa"/>
            </w:tcMar>
          </w:tcPr>
          <w:p>
            <w:r>
              <w:rPr>
                <w:rFonts w:ascii="Calibri" w:hAnsi="Calibri"/>
                <w:b w:val="0"/>
                <w:i w:val="0"/>
                <w:color w:val="1F1F1F"/>
                <w:sz w:val="19"/>
              </w:rPr>
              <w:t>Salka 181, 943 61 Salka</w:t>
            </w:r>
          </w:p>
        </w:tc>
      </w:tr>
      <w:tr>
        <w:tc>
          <w:tcPr>
            <w:tcW w:type="dxa" w:w="3118"/>
            <w:shd w:fill="D9EAF7"/>
            <w:vAlign w:val="center"/>
            <w:tcMar>
              <w:top w:w="70" w:type="dxa"/>
              <w:start w:w="90" w:type="dxa"/>
              <w:bottom w:w="70" w:type="dxa"/>
              <w:end w:w="90" w:type="dxa"/>
            </w:tcMar>
          </w:tcPr>
          <w:p>
            <w:r>
              <w:rPr>
                <w:rFonts w:ascii="Calibri" w:hAnsi="Calibri"/>
                <w:b/>
                <w:i w:val="0"/>
                <w:color w:val="1F1F1F"/>
                <w:sz w:val="19"/>
              </w:rPr>
              <w:t>IČO</w:t>
            </w:r>
          </w:p>
        </w:tc>
        <w:tc>
          <w:tcPr>
            <w:tcW w:type="dxa" w:w="6520"/>
            <w:vAlign w:val="center"/>
            <w:tcMar>
              <w:top w:w="70" w:type="dxa"/>
              <w:start w:w="90" w:type="dxa"/>
              <w:bottom w:w="70" w:type="dxa"/>
              <w:end w:w="90" w:type="dxa"/>
            </w:tcMar>
          </w:tcPr>
          <w:p>
            <w:r>
              <w:rPr>
                <w:rFonts w:ascii="Calibri" w:hAnsi="Calibri"/>
                <w:b w:val="0"/>
                <w:i w:val="0"/>
                <w:color w:val="1F1F1F"/>
                <w:sz w:val="19"/>
              </w:rPr>
              <w:t>54 965 161</w:t>
            </w:r>
          </w:p>
        </w:tc>
      </w:tr>
      <w:tr>
        <w:tc>
          <w:tcPr>
            <w:tcW w:type="dxa" w:w="3118"/>
            <w:shd w:fill="D9EAF7"/>
            <w:vAlign w:val="center"/>
            <w:tcMar>
              <w:top w:w="70" w:type="dxa"/>
              <w:start w:w="90" w:type="dxa"/>
              <w:bottom w:w="70" w:type="dxa"/>
              <w:end w:w="90" w:type="dxa"/>
            </w:tcMar>
          </w:tcPr>
          <w:p>
            <w:r>
              <w:rPr>
                <w:rFonts w:ascii="Calibri" w:hAnsi="Calibri"/>
                <w:b/>
                <w:i w:val="0"/>
                <w:color w:val="1F1F1F"/>
                <w:sz w:val="19"/>
              </w:rPr>
              <w:t>DIČ</w:t>
            </w:r>
          </w:p>
        </w:tc>
        <w:tc>
          <w:tcPr>
            <w:tcW w:type="dxa" w:w="6520"/>
            <w:vAlign w:val="center"/>
            <w:tcMar>
              <w:top w:w="70" w:type="dxa"/>
              <w:start w:w="90" w:type="dxa"/>
              <w:bottom w:w="70" w:type="dxa"/>
              <w:end w:w="90" w:type="dxa"/>
            </w:tcMar>
          </w:tcPr>
          <w:p>
            <w:r>
              <w:rPr>
                <w:rFonts w:ascii="Calibri" w:hAnsi="Calibri"/>
                <w:b w:val="0"/>
                <w:i w:val="0"/>
                <w:color w:val="1F1F1F"/>
                <w:sz w:val="19"/>
              </w:rPr>
              <w:t>2121835298</w:t>
            </w:r>
          </w:p>
        </w:tc>
      </w:tr>
      <w:tr>
        <w:tc>
          <w:tcPr>
            <w:tcW w:type="dxa" w:w="3118"/>
            <w:shd w:fill="D9EAF7"/>
            <w:vAlign w:val="center"/>
            <w:tcMar>
              <w:top w:w="70" w:type="dxa"/>
              <w:start w:w="90" w:type="dxa"/>
              <w:bottom w:w="70" w:type="dxa"/>
              <w:end w:w="90" w:type="dxa"/>
            </w:tcMar>
          </w:tcPr>
          <w:p>
            <w:r>
              <w:rPr>
                <w:rFonts w:ascii="Calibri" w:hAnsi="Calibri"/>
                <w:b/>
                <w:i w:val="0"/>
                <w:color w:val="1F1F1F"/>
                <w:sz w:val="19"/>
              </w:rPr>
              <w:t>IČ DPH</w:t>
            </w:r>
          </w:p>
        </w:tc>
        <w:tc>
          <w:tcPr>
            <w:tcW w:type="dxa" w:w="6520"/>
            <w:vAlign w:val="center"/>
            <w:tcMar>
              <w:top w:w="70" w:type="dxa"/>
              <w:start w:w="90" w:type="dxa"/>
              <w:bottom w:w="70" w:type="dxa"/>
              <w:end w:w="90" w:type="dxa"/>
            </w:tcMar>
          </w:tcPr>
          <w:p>
            <w:r>
              <w:rPr>
                <w:rFonts w:ascii="Calibri" w:hAnsi="Calibri"/>
                <w:b w:val="0"/>
                <w:i w:val="0"/>
                <w:color w:val="1F1F1F"/>
                <w:sz w:val="19"/>
              </w:rPr>
              <w:t>SK2121835298</w:t>
            </w:r>
          </w:p>
        </w:tc>
      </w:tr>
      <w:tr>
        <w:tc>
          <w:tcPr>
            <w:tcW w:type="dxa" w:w="3118"/>
            <w:shd w:fill="D9EAF7"/>
            <w:vAlign w:val="center"/>
            <w:tcMar>
              <w:top w:w="70" w:type="dxa"/>
              <w:start w:w="90" w:type="dxa"/>
              <w:bottom w:w="70" w:type="dxa"/>
              <w:end w:w="90" w:type="dxa"/>
            </w:tcMar>
          </w:tcPr>
          <w:p>
            <w:r>
              <w:rPr>
                <w:rFonts w:ascii="Calibri" w:hAnsi="Calibri"/>
                <w:b/>
                <w:i w:val="0"/>
                <w:color w:val="1F1F1F"/>
                <w:sz w:val="19"/>
              </w:rPr>
              <w:t>Konateľ / kontaktná osoba</w:t>
            </w:r>
          </w:p>
        </w:tc>
        <w:tc>
          <w:tcPr>
            <w:tcW w:type="dxa" w:w="6520"/>
            <w:vAlign w:val="center"/>
            <w:tcMar>
              <w:top w:w="70" w:type="dxa"/>
              <w:start w:w="90" w:type="dxa"/>
              <w:bottom w:w="70" w:type="dxa"/>
              <w:end w:w="90" w:type="dxa"/>
            </w:tcMar>
          </w:tcPr>
          <w:p>
            <w:r>
              <w:rPr>
                <w:rFonts w:ascii="Calibri" w:hAnsi="Calibri"/>
                <w:b w:val="0"/>
                <w:i w:val="0"/>
                <w:color w:val="1F1F1F"/>
                <w:sz w:val="19"/>
              </w:rPr>
              <w:t>Vojtech Kovács; komunikácia k prieskumu trhu prostredníctvom JOSEPHINE</w:t>
            </w:r>
          </w:p>
        </w:tc>
      </w:tr>
    </w:tbl>
    <w:p>
      <w:pPr>
        <w:spacing w:before="160" w:after="80"/>
      </w:pPr>
      <w:r>
        <w:rPr>
          <w:rFonts w:ascii="Calibri" w:hAnsi="Calibri"/>
          <w:b/>
          <w:i w:val="0"/>
          <w:color w:val="1F4E78"/>
          <w:sz w:val="23"/>
        </w:rPr>
        <w:t>2. PREDMET PRIESKUMU TRHU</w:t>
      </w:r>
    </w:p>
    <w:p>
      <w:r>
        <w:rPr>
          <w:rFonts w:ascii="Calibri" w:hAnsi="Calibri"/>
          <w:b w:val="0"/>
          <w:i w:val="0"/>
          <w:color w:val="1F1F1F"/>
          <w:sz w:val="21"/>
        </w:rPr>
        <w:t>Predmetom prieskumu trhu je zistenie aktuálnych trhových cien a určenie PHZ pre dodanie jedného funkčne a technologicky previazaného celku určeného na plnenie, porcovanie a pretáčanie mäsových a obdobných potravinárskych hmôt. Súčasťou celku je hlavný vákuový plniaci/porcovací/pretáčací stroj, kompatibilné príslušenstvo, vybavenie na prácu s črevami, príprava na klipsovačku, riešenie na plnenie horúcej hmoty a nerezový vyklápač 200 l normovaných vozíkov.</w:t>
      </w:r>
    </w:p>
    <w:p>
      <w:pPr>
        <w:pStyle w:val="ListBullet"/>
        <w:spacing w:after="40"/>
        <w:ind w:left="283"/>
      </w:pPr>
      <w:r>
        <w:rPr>
          <w:rFonts w:ascii="Calibri" w:hAnsi="Calibri"/>
          <w:b w:val="0"/>
          <w:i w:val="0"/>
          <w:color w:val="1F1F1F"/>
          <w:sz w:val="20"/>
        </w:rPr>
        <w:t>Druh zákazky: tovar – dodanie technologického zariadenia vrátane montáže/inštalácie a uvedenia do prevádzky.</w:t>
      </w:r>
    </w:p>
    <w:p>
      <w:pPr>
        <w:pStyle w:val="ListBullet"/>
        <w:spacing w:after="40"/>
        <w:ind w:left="283"/>
      </w:pPr>
      <w:r>
        <w:rPr>
          <w:rFonts w:ascii="Calibri" w:hAnsi="Calibri"/>
          <w:b w:val="0"/>
          <w:i w:val="0"/>
          <w:color w:val="1F1F1F"/>
          <w:sz w:val="20"/>
        </w:rPr>
        <w:t>CPV: 42215200-8 – Zariadenia na spracovanie potravín.</w:t>
      </w:r>
    </w:p>
    <w:p>
      <w:pPr>
        <w:pStyle w:val="ListBullet"/>
        <w:spacing w:after="40"/>
        <w:ind w:left="283"/>
      </w:pPr>
      <w:r>
        <w:rPr>
          <w:rFonts w:ascii="Calibri" w:hAnsi="Calibri"/>
          <w:b w:val="0"/>
          <w:i w:val="0"/>
          <w:color w:val="1F1F1F"/>
          <w:sz w:val="20"/>
        </w:rPr>
        <w:t>Množstvo: 1 funkčný technologický celok.</w:t>
      </w:r>
    </w:p>
    <w:p>
      <w:pPr>
        <w:pStyle w:val="ListBullet"/>
        <w:spacing w:after="40"/>
        <w:ind w:left="283"/>
      </w:pPr>
      <w:r>
        <w:rPr>
          <w:rFonts w:ascii="Calibri" w:hAnsi="Calibri"/>
          <w:b w:val="0"/>
          <w:i w:val="0"/>
          <w:color w:val="1F1F1F"/>
          <w:sz w:val="20"/>
        </w:rPr>
        <w:t>Miesto dodania: Premium Meat s. r. o., Salka 181, 943 61 Salka.</w:t>
      </w:r>
    </w:p>
    <w:p>
      <w:pPr>
        <w:pStyle w:val="ListBullet"/>
        <w:spacing w:after="40"/>
        <w:ind w:left="283"/>
      </w:pPr>
      <w:r>
        <w:rPr>
          <w:rFonts w:ascii="Calibri" w:hAnsi="Calibri"/>
          <w:b w:val="0"/>
          <w:i w:val="0"/>
          <w:color w:val="1F1F1F"/>
          <w:sz w:val="20"/>
        </w:rPr>
        <w:t>Podrobný opis a minimálne technické požiadavky sú uvedené v Prílohe č. 1.</w:t>
      </w:r>
    </w:p>
    <w:p>
      <w:pPr>
        <w:pStyle w:val="ListBullet"/>
        <w:spacing w:after="40"/>
        <w:ind w:left="283"/>
      </w:pPr>
      <w:r>
        <w:rPr>
          <w:rFonts w:ascii="Calibri" w:hAnsi="Calibri"/>
          <w:b w:val="0"/>
          <w:i w:val="0"/>
          <w:color w:val="1F1F1F"/>
          <w:sz w:val="20"/>
        </w:rPr>
        <w:t>Predmet sa nerozdeľuje na časti, pretože jednotlivé zariadenia a príslušenstvo musia byť vzájomne kompatibilné a tvoriť plne funkčný celok. Dodávateľ môže ponúknuť komponenty od rôznych výrobcov, ak zabezpečí ich úplnú kompatibilitu a funkčnosť.</w:t>
      </w:r>
    </w:p>
    <w:p>
      <w:pPr>
        <w:spacing w:before="160" w:after="80"/>
      </w:pPr>
      <w:r>
        <w:rPr>
          <w:rFonts w:ascii="Calibri" w:hAnsi="Calibri"/>
          <w:b/>
          <w:i w:val="0"/>
          <w:color w:val="1F4E78"/>
          <w:sz w:val="23"/>
        </w:rPr>
        <w:t>3. POŽADOVANÝ ROZSAH DODÁVKY</w:t>
      </w:r>
    </w:p>
    <w:p>
      <w:pPr>
        <w:pStyle w:val="ListBullet"/>
        <w:spacing w:after="40"/>
        <w:ind w:left="283"/>
      </w:pPr>
      <w:r>
        <w:rPr>
          <w:rFonts w:ascii="Calibri" w:hAnsi="Calibri"/>
          <w:b w:val="0"/>
          <w:i w:val="0"/>
          <w:color w:val="1F1F1F"/>
          <w:sz w:val="20"/>
        </w:rPr>
        <w:t>vákuový plniaci, porcovací a pretáčací stroj s objemom delenej násypky 150 – 170 l,</w:t>
      </w:r>
    </w:p>
    <w:p>
      <w:pPr>
        <w:pStyle w:val="ListBullet"/>
        <w:spacing w:after="40"/>
        <w:ind w:left="283"/>
      </w:pPr>
      <w:r>
        <w:rPr>
          <w:rFonts w:ascii="Calibri" w:hAnsi="Calibri"/>
          <w:b w:val="0"/>
          <w:i w:val="0"/>
          <w:color w:val="1F1F1F"/>
          <w:sz w:val="20"/>
        </w:rPr>
        <w:t>pridržiavacie zariadenie pre pretáčanie a 2 ks kompatibilných pretáčacích kompletov pre približné priemery 12 mm a 18 mm,</w:t>
      </w:r>
    </w:p>
    <w:p>
      <w:pPr>
        <w:pStyle w:val="ListBullet"/>
        <w:spacing w:after="40"/>
        <w:ind w:left="283"/>
      </w:pPr>
      <w:r>
        <w:rPr>
          <w:rFonts w:ascii="Calibri" w:hAnsi="Calibri"/>
          <w:b w:val="0"/>
          <w:i w:val="0"/>
          <w:color w:val="1F1F1F"/>
          <w:sz w:val="20"/>
        </w:rPr>
        <w:t>navliekačka čriev a kompletné príslušenstvo potrebné na porciovanie a pretáčanie,</w:t>
      </w:r>
    </w:p>
    <w:p>
      <w:pPr>
        <w:pStyle w:val="ListBullet"/>
        <w:spacing w:after="40"/>
        <w:ind w:left="283"/>
      </w:pPr>
      <w:r>
        <w:rPr>
          <w:rFonts w:ascii="Calibri" w:hAnsi="Calibri"/>
          <w:b w:val="0"/>
          <w:i w:val="0"/>
          <w:color w:val="1F1F1F"/>
          <w:sz w:val="20"/>
        </w:rPr>
        <w:t>pripojovacie rozhranie / kábel pre externú klipsovačku a elektrický výstup pre prídavné zariadenie,</w:t>
      </w:r>
    </w:p>
    <w:p>
      <w:pPr>
        <w:pStyle w:val="ListBullet"/>
        <w:spacing w:after="40"/>
        <w:ind w:left="283"/>
      </w:pPr>
      <w:r>
        <w:rPr>
          <w:rFonts w:ascii="Calibri" w:hAnsi="Calibri"/>
          <w:b w:val="0"/>
          <w:i w:val="0"/>
          <w:color w:val="1F1F1F"/>
          <w:sz w:val="20"/>
        </w:rPr>
        <w:t>technické riešenie umožňujúce plnenie horúcej hmoty,</w:t>
      </w:r>
    </w:p>
    <w:p>
      <w:pPr>
        <w:pStyle w:val="ListBullet"/>
        <w:spacing w:after="40"/>
        <w:ind w:left="283"/>
      </w:pPr>
      <w:r>
        <w:rPr>
          <w:rFonts w:ascii="Calibri" w:hAnsi="Calibri"/>
          <w:b w:val="0"/>
          <w:i w:val="0"/>
          <w:color w:val="1F1F1F"/>
          <w:sz w:val="20"/>
        </w:rPr>
        <w:t>nerezový čelný ľavý vyklápač pre normované 200 l potravinárske vozíky, s cieľovou výškou vyklopenia približne 1 860 mm a prípustným intervalom 1 810 – 1 910 mm,</w:t>
      </w:r>
    </w:p>
    <w:p>
      <w:pPr>
        <w:pStyle w:val="ListBullet"/>
        <w:spacing w:after="40"/>
        <w:ind w:left="283"/>
      </w:pPr>
      <w:r>
        <w:rPr>
          <w:rFonts w:ascii="Calibri" w:hAnsi="Calibri"/>
          <w:b w:val="0"/>
          <w:i w:val="0"/>
          <w:color w:val="1F1F1F"/>
          <w:sz w:val="20"/>
        </w:rPr>
        <w:t>doprava do miesta dodania, vyloženie, montáž/inštalácia, uvedenie do prevádzky, funkčná skúška, základné zaškolenie obsluhy a technická dokumentácia.</w:t>
      </w:r>
    </w:p>
    <w:p>
      <w:pPr>
        <w:pageBreakBefore/>
        <w:spacing w:before="160" w:after="80"/>
      </w:pPr>
      <w:r>
        <w:rPr>
          <w:rFonts w:ascii="Calibri" w:hAnsi="Calibri"/>
          <w:b/>
          <w:i w:val="0"/>
          <w:color w:val="1F4E78"/>
          <w:sz w:val="23"/>
        </w:rPr>
        <w:t>4. SPÔSOB VYPRACOVANIA A PREDLOŽENIA CENOVEJ PONUKY</w:t>
      </w:r>
    </w:p>
    <w:p>
      <w:pPr>
        <w:pStyle w:val="ListBullet"/>
        <w:spacing w:after="40"/>
        <w:ind w:left="283"/>
      </w:pPr>
      <w:r>
        <w:rPr>
          <w:rFonts w:ascii="Calibri" w:hAnsi="Calibri"/>
          <w:b w:val="0"/>
          <w:i w:val="0"/>
          <w:color w:val="1F1F1F"/>
          <w:sz w:val="20"/>
        </w:rPr>
        <w:t>Potenciálny dodávateľ predloží vyplnenú Prílohu č. 1 – Opis predmetu zákazky (technická špecifikácia). V zelených poliach uvedie konkrétne parametre ním ponúkaného riešenia, výrobcu a typové označenie/model.</w:t>
      </w:r>
    </w:p>
    <w:p>
      <w:pPr>
        <w:pStyle w:val="ListBullet"/>
        <w:spacing w:after="40"/>
        <w:ind w:left="283"/>
      </w:pPr>
      <w:r>
        <w:rPr>
          <w:rFonts w:ascii="Calibri" w:hAnsi="Calibri"/>
          <w:b w:val="0"/>
          <w:i w:val="0"/>
          <w:color w:val="1F1F1F"/>
          <w:sz w:val="20"/>
        </w:rPr>
        <w:t>Potenciálny dodávateľ predloží vyplnenú Prílohu č. 2 – Cenová ponuka. Cenová ponuka musí obsahovať identifikačné údaje dodávateľa, výrobcu a typ hlavného zariadenia, cenový rozpis, cenu spolu bez DPH, DPH a cenu spolu s DPH.</w:t>
      </w:r>
    </w:p>
    <w:p>
      <w:pPr>
        <w:pStyle w:val="ListBullet"/>
        <w:spacing w:after="40"/>
        <w:ind w:left="283"/>
      </w:pPr>
      <w:r>
        <w:rPr>
          <w:rFonts w:ascii="Calibri" w:hAnsi="Calibri"/>
          <w:b w:val="0"/>
          <w:i w:val="0"/>
          <w:color w:val="1F1F1F"/>
          <w:sz w:val="20"/>
        </w:rPr>
        <w:t>V prípade, že je niektorá požadovaná súčasť integrovaná v hlavnom zariadení alebo zahrnutá v cene inej položky, dodávateľ to v cenovom rozpise jednoznačne uvedie; celková cena kompletného funkčného celku musí byť vždy zrejmá.</w:t>
      </w:r>
    </w:p>
    <w:p>
      <w:pPr>
        <w:pStyle w:val="ListBullet"/>
        <w:spacing w:after="40"/>
        <w:ind w:left="283"/>
      </w:pPr>
      <w:r>
        <w:rPr>
          <w:rFonts w:ascii="Calibri" w:hAnsi="Calibri"/>
          <w:b w:val="0"/>
          <w:i w:val="0"/>
          <w:color w:val="1F1F1F"/>
          <w:sz w:val="20"/>
        </w:rPr>
        <w:t>Ponuka musí zodpovedať všetkým minimálnym požiadavkám Prílohy č. 1. Pri parametroch uvedených ako minimum, maximum alebo interval dodávateľ uvedie konkrétnu hodnotu ponúkaného riešenia.</w:t>
      </w:r>
    </w:p>
    <w:p>
      <w:pPr>
        <w:pStyle w:val="ListBullet"/>
        <w:spacing w:after="40"/>
        <w:ind w:left="283"/>
      </w:pPr>
      <w:r>
        <w:rPr>
          <w:rFonts w:ascii="Calibri" w:hAnsi="Calibri"/>
          <w:b w:val="0"/>
          <w:i w:val="0"/>
          <w:color w:val="1F1F1F"/>
          <w:sz w:val="20"/>
        </w:rPr>
        <w:t>Ak by sa v podkladoch výnimočne nachádzalo konkrétne technické alebo výrobné označenie, je uvedené výlučne na jednoznačné vyjadrenie funkčných súvislostí; vyhlasovateľ pripúšťa ekvivalentné riešenie spĺňajúce požadovanú funkciu a minimálne parametre.</w:t>
      </w:r>
    </w:p>
    <w:p>
      <w:pPr>
        <w:pStyle w:val="ListBullet"/>
        <w:spacing w:after="40"/>
        <w:ind w:left="283"/>
      </w:pPr>
      <w:r>
        <w:rPr>
          <w:rFonts w:ascii="Calibri" w:hAnsi="Calibri"/>
          <w:b w:val="0"/>
          <w:i w:val="0"/>
          <w:color w:val="1F1F1F"/>
          <w:sz w:val="20"/>
        </w:rPr>
        <w:t>Cena musí zahŕňať všetky náklady potrebné na riadne dodanie a sprevádzkovanie predmetu – najmä dopravu, vyloženie, montáž/inštaláciu, uvedenie do prevádzky, odskúšanie a zaškolenie obsluhy.</w:t>
      </w:r>
    </w:p>
    <w:p>
      <w:pPr>
        <w:pStyle w:val="ListBullet"/>
        <w:spacing w:after="40"/>
        <w:ind w:left="283"/>
      </w:pPr>
      <w:r>
        <w:rPr>
          <w:rFonts w:ascii="Calibri" w:hAnsi="Calibri"/>
          <w:b w:val="0"/>
          <w:i w:val="0"/>
          <w:color w:val="1F1F1F"/>
          <w:sz w:val="20"/>
        </w:rPr>
        <w:t>Cenová ponuka sa predkladá elektronicky prostredníctvom systému JOSEPHINE. Ponuku odporúčame nahrať ako PDF/sken podpísaný oprávnenou osobou a Prílohu č. 1 zároveň v editovateľnom formáte XLSX.</w:t>
      </w:r>
    </w:p>
    <w:p>
      <w:pPr>
        <w:pStyle w:val="ListBullet"/>
        <w:spacing w:after="40"/>
        <w:ind w:left="283"/>
      </w:pPr>
      <w:r>
        <w:rPr>
          <w:rFonts w:ascii="Calibri" w:hAnsi="Calibri"/>
          <w:b w:val="0"/>
          <w:i w:val="0"/>
          <w:color w:val="1F1F1F"/>
          <w:sz w:val="20"/>
        </w:rPr>
        <w:t>Ponuka môže byť vyhotovená v slovenskom alebo českom jazyku. Pri inom jazyku vyhlasovateľ požaduje aj neúradný preklad do slovenského jazyka.</w:t>
      </w:r>
    </w:p>
    <w:p>
      <w:pPr>
        <w:spacing w:before="160" w:after="80"/>
      </w:pPr>
      <w:r>
        <w:rPr>
          <w:rFonts w:ascii="Calibri" w:hAnsi="Calibri"/>
          <w:b/>
          <w:i w:val="0"/>
          <w:color w:val="1F4E78"/>
          <w:sz w:val="23"/>
        </w:rPr>
        <w:t>5. LEHOTA A SPÔSOB DORUČENIA</w:t>
      </w:r>
    </w:p>
    <w:p>
      <w:r>
        <w:rPr>
          <w:rFonts w:ascii="Calibri" w:hAnsi="Calibri"/>
          <w:b/>
          <w:i w:val="0"/>
          <w:color w:val="1F1F1F"/>
          <w:sz w:val="21"/>
        </w:rPr>
        <w:t>Lehota na predloženie cenovej ponuky: 28.09.2026 do 15:00 hod.</w:t>
      </w:r>
      <w:r>
        <w:rPr>
          <w:rFonts w:ascii="Calibri" w:hAnsi="Calibri"/>
          <w:b/>
          <w:i w:val="0"/>
          <w:color w:val="C00000"/>
          <w:sz w:val="21"/>
        </w:rPr>
      </w:r>
    </w:p>
    <w:p>
      <w:r>
        <w:rPr>
          <w:rFonts w:ascii="Calibri" w:hAnsi="Calibri"/>
          <w:b/>
          <w:i w:val="0"/>
          <w:color w:val="1F1F1F"/>
          <w:sz w:val="21"/>
        </w:rPr>
        <w:t xml:space="preserve">Miesto / spôsob doručenia: </w:t>
      </w:r>
      <w:r>
        <w:rPr>
          <w:rFonts w:ascii="Calibri" w:hAnsi="Calibri"/>
          <w:b w:val="0"/>
          <w:i w:val="0"/>
          <w:color w:val="1F1F1F"/>
          <w:sz w:val="21"/>
        </w:rPr>
        <w:t>výhradne prostredníctvom elektronického obstarávacieho systému JOSEPHINE.</w:t>
      </w:r>
    </w:p>
    <w:p>
      <w:r>
        <w:rPr>
          <w:rFonts w:ascii="Calibri" w:hAnsi="Calibri"/>
          <w:b w:val="0"/>
          <w:i w:val="0"/>
          <w:color w:val="1F1F1F"/>
          <w:sz w:val="21"/>
        </w:rPr>
        <w:t>Potenciálny dodávateľ musí mať vytvorený používateľský účet v systéme JOSEPHINE a predložiť ponuku do predmetného prieskumu trhu v stanovenej lehote.</w:t>
      </w:r>
    </w:p>
    <w:p>
      <w:pPr>
        <w:spacing w:before="160" w:after="80"/>
      </w:pPr>
      <w:r>
        <w:rPr>
          <w:rFonts w:ascii="Calibri" w:hAnsi="Calibri"/>
          <w:b/>
          <w:i w:val="0"/>
          <w:color w:val="1F4E78"/>
          <w:sz w:val="23"/>
        </w:rPr>
        <w:t>6. CENOVÉ A OBCHODNÉ ÚDAJE</w:t>
      </w:r>
    </w:p>
    <w:p>
      <w:pPr>
        <w:pStyle w:val="ListBullet"/>
        <w:spacing w:after="40"/>
        <w:ind w:left="283"/>
      </w:pPr>
      <w:r>
        <w:rPr>
          <w:rFonts w:ascii="Calibri" w:hAnsi="Calibri"/>
          <w:b w:val="0"/>
          <w:i w:val="0"/>
          <w:color w:val="1F1F1F"/>
          <w:sz w:val="20"/>
        </w:rPr>
        <w:t>Cena sa uvedie v EUR bez DPH, DPH a v EUR s DPH.</w:t>
      </w:r>
    </w:p>
    <w:p>
      <w:pPr>
        <w:pStyle w:val="ListBullet"/>
        <w:spacing w:after="40"/>
        <w:ind w:left="283"/>
      </w:pPr>
      <w:r>
        <w:rPr>
          <w:rFonts w:ascii="Calibri" w:hAnsi="Calibri"/>
          <w:b w:val="0"/>
          <w:i w:val="0"/>
          <w:color w:val="1F1F1F"/>
          <w:sz w:val="20"/>
        </w:rPr>
        <w:t>Pre určenie PHZ je rozhodujúca celková cena kompletného funkčného celku bez DPH.</w:t>
      </w:r>
    </w:p>
    <w:p>
      <w:pPr>
        <w:pStyle w:val="ListBullet"/>
        <w:spacing w:after="40"/>
        <w:ind w:left="283"/>
      </w:pPr>
      <w:r>
        <w:rPr>
          <w:rFonts w:ascii="Calibri" w:hAnsi="Calibri"/>
          <w:b w:val="0"/>
          <w:i w:val="0"/>
          <w:color w:val="1F1F1F"/>
          <w:sz w:val="20"/>
        </w:rPr>
        <w:t>Dodávateľ uvedie predpokladanú dodaciu lehotu v týždňoch od záväzného objednania / uzavretia zmluvy.</w:t>
      </w:r>
    </w:p>
    <w:p>
      <w:pPr>
        <w:pStyle w:val="ListBullet"/>
        <w:spacing w:after="40"/>
        <w:ind w:left="283"/>
      </w:pPr>
      <w:r>
        <w:rPr>
          <w:rFonts w:ascii="Calibri" w:hAnsi="Calibri"/>
          <w:b w:val="0"/>
          <w:i w:val="0"/>
          <w:color w:val="1F1F1F"/>
          <w:sz w:val="20"/>
        </w:rPr>
        <w:t>Požadovaná minimálna záručná doba: 12 mesiacov od protokolárneho uvedenia do prevádzky.</w:t>
      </w:r>
    </w:p>
    <w:p>
      <w:pPr>
        <w:pStyle w:val="ListBullet"/>
        <w:spacing w:after="40"/>
        <w:ind w:left="283"/>
      </w:pPr>
      <w:r>
        <w:rPr>
          <w:rFonts w:ascii="Calibri" w:hAnsi="Calibri"/>
          <w:b w:val="0"/>
          <w:i w:val="0"/>
          <w:color w:val="1F1F1F"/>
          <w:sz w:val="20"/>
        </w:rPr>
        <w:t>Dodávateľ uvedie platnosť cenovej ponuky.</w:t>
      </w:r>
    </w:p>
    <w:p>
      <w:pPr>
        <w:pStyle w:val="ListBullet"/>
        <w:spacing w:after="40"/>
        <w:ind w:left="283"/>
      </w:pPr>
      <w:r>
        <w:rPr>
          <w:rFonts w:ascii="Calibri" w:hAnsi="Calibri"/>
          <w:b w:val="0"/>
          <w:i w:val="0"/>
          <w:color w:val="1F1F1F"/>
          <w:sz w:val="20"/>
        </w:rPr>
        <w:t>Dodávateľ vyhlási, že uvedená cena zodpovedá cenám obvyklým v danom mieste a čase a zahŕňa celý požadovaný rozsah dodávky.</w:t>
      </w:r>
    </w:p>
    <w:p>
      <w:pPr>
        <w:spacing w:before="160" w:after="80"/>
      </w:pPr>
      <w:r>
        <w:rPr>
          <w:rFonts w:ascii="Calibri" w:hAnsi="Calibri"/>
          <w:b/>
          <w:i w:val="0"/>
          <w:color w:val="1F4E78"/>
          <w:sz w:val="23"/>
        </w:rPr>
        <w:t>7. ÚČEL PRIESKUMU TRHU A ĎALŠÍ POSTUP</w:t>
      </w:r>
    </w:p>
    <w:p>
      <w:r>
        <w:rPr>
          <w:rFonts w:ascii="Calibri" w:hAnsi="Calibri"/>
          <w:b w:val="0"/>
          <w:i w:val="0"/>
          <w:color w:val="1F1F1F"/>
          <w:sz w:val="21"/>
        </w:rPr>
        <w:t>Tento prieskum trhu slúži výlučne na stanovenie PHZ a sám osebe nevedie k uzavretiu odberateľsko-dodávateľského vzťahu. PHZ bude určená v EUR bez DPH ako aritmetický priemer relevantných zistených cien v súlade s Metodickým usmernením Riadiaceho orgánu č. 2/2025. Vyhlasovateľ bude pri PHZ prioritne uplatňovať pravidlo najmenej troch ponúk od troch rôznych potenciálnych dodávateľov.</w:t>
      </w:r>
    </w:p>
    <w:p>
      <w:r>
        <w:rPr>
          <w:rFonts w:ascii="Calibri" w:hAnsi="Calibri"/>
          <w:b w:val="0"/>
          <w:i w:val="0"/>
          <w:color w:val="1F1F1F"/>
          <w:sz w:val="21"/>
        </w:rPr>
        <w:t>Ak určená PHZ dosiahne 50 000 EUR bez DPH alebo viac, následný výber dodávateľa bude realizovaný samostatným obstarávaním podľa príslušného postupu Metodického usmernenia. Cenová ponuka predložená do tohto prieskumu trhu preto nepredstavuje ponuku v následnom obstarávaní.</w:t>
      </w:r>
    </w:p>
    <w:p>
      <w:pPr>
        <w:spacing w:before="160" w:after="80"/>
      </w:pPr>
      <w:r>
        <w:rPr>
          <w:rFonts w:ascii="Calibri" w:hAnsi="Calibri"/>
          <w:b/>
          <w:i w:val="0"/>
          <w:color w:val="1F4E78"/>
          <w:sz w:val="23"/>
        </w:rPr>
        <w:t>8. OPRÁVNENOSŤ POTENCIÁLNEHO DODÁVATEĽA</w:t>
      </w:r>
    </w:p>
    <w:p>
      <w:r>
        <w:rPr>
          <w:rFonts w:ascii="Calibri" w:hAnsi="Calibri"/>
          <w:b w:val="0"/>
          <w:i w:val="0"/>
          <w:color w:val="1F1F1F"/>
          <w:sz w:val="21"/>
        </w:rPr>
        <w:t>Cenovú ponuku môže predložiť právnická alebo fyzická osoba oprávnená dodávať tovar, ktorý tvorí predmet prieskumu trhu. Vyhlasovateľ si oprávnenosť dodávateľa overí vo verejne prístupnom registri; na účely dokumentácie prieskumu trhu si môže uložiť príslušný výpis alebo printscreen.</w:t>
      </w:r>
    </w:p>
    <w:p>
      <w:pPr>
        <w:spacing w:before="240"/>
      </w:pPr>
      <w:r>
        <w:rPr>
          <w:rFonts w:ascii="Calibri" w:hAnsi="Calibri"/>
          <w:b w:val="0"/>
          <w:i w:val="0"/>
          <w:color w:val="1F1F1F"/>
          <w:sz w:val="20"/>
        </w:rPr>
        <w:t>V Salke, dňa 22.09.2026</w:t>
      </w:r>
    </w:p>
    <w:p>
      <w:pPr>
        <w:spacing w:before="320"/>
      </w:pPr>
      <w:r>
        <w:rPr>
          <w:rFonts w:ascii="Calibri" w:hAnsi="Calibri"/>
          <w:b/>
          <w:i w:val="0"/>
          <w:color w:val="1F1F1F"/>
          <w:sz w:val="21"/>
        </w:rPr>
        <w:t>Vojtech Kovács</w:t>
      </w:r>
    </w:p>
    <w:p>
      <w:r>
        <w:rPr>
          <w:rFonts w:ascii="Calibri" w:hAnsi="Calibri"/>
          <w:b w:val="0"/>
          <w:i w:val="0"/>
          <w:color w:val="1F1F1F"/>
          <w:sz w:val="20"/>
        </w:rPr>
        <w:t>konateľ spoločnosti Premium Meat s. r. o.</w:t>
      </w:r>
    </w:p>
    <w:sectPr w:rsidR="00FC693F" w:rsidRPr="0006063C" w:rsidSect="00034616">
      <w:pgSz w:w="12240" w:h="15840"/>
      <w:pgMar w:top="907" w:right="1020" w:bottom="794"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