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0D1" w14:textId="77777777" w:rsidR="00A1602B" w:rsidRPr="003A209D" w:rsidRDefault="00A1602B" w:rsidP="00A1602B">
      <w:pPr>
        <w:rPr>
          <w:rFonts w:ascii="Gambria" w:hAnsi="Gambria" w:cs="Arial"/>
          <w:b/>
          <w:sz w:val="20"/>
          <w:szCs w:val="20"/>
        </w:rPr>
      </w:pPr>
    </w:p>
    <w:p w14:paraId="3A612ECE" w14:textId="77777777" w:rsidR="00A1602B" w:rsidRPr="003A209D" w:rsidRDefault="00A1602B" w:rsidP="00A1602B">
      <w:pPr>
        <w:tabs>
          <w:tab w:val="left" w:pos="567"/>
        </w:tabs>
        <w:overflowPunct w:val="0"/>
        <w:autoSpaceDE w:val="0"/>
        <w:autoSpaceDN w:val="0"/>
        <w:adjustRightInd w:val="0"/>
        <w:ind w:left="6381"/>
        <w:jc w:val="right"/>
        <w:textAlignment w:val="baseline"/>
        <w:rPr>
          <w:rFonts w:ascii="Gambria" w:hAnsi="Gambria" w:cs="Arial"/>
          <w:b/>
          <w:bCs/>
          <w:i/>
          <w:sz w:val="20"/>
          <w:szCs w:val="20"/>
        </w:rPr>
      </w:pPr>
      <w:r w:rsidRPr="003A209D">
        <w:rPr>
          <w:rFonts w:ascii="Gambria" w:hAnsi="Gambria" w:cs="Arial"/>
          <w:b/>
          <w:sz w:val="20"/>
          <w:szCs w:val="20"/>
        </w:rPr>
        <w:t>D.</w:t>
      </w:r>
      <w:r w:rsidRPr="003A209D">
        <w:rPr>
          <w:rFonts w:ascii="Gambria" w:hAnsi="Gambria" w:cs="Arial"/>
          <w:b/>
          <w:bCs/>
          <w:sz w:val="20"/>
          <w:szCs w:val="20"/>
        </w:rPr>
        <w:t xml:space="preserve"> </w:t>
      </w:r>
      <w:r w:rsidRPr="003A209D">
        <w:rPr>
          <w:rFonts w:ascii="Gambria" w:hAnsi="Gambria" w:cs="Arial"/>
          <w:b/>
          <w:bCs/>
          <w:i/>
          <w:sz w:val="20"/>
          <w:szCs w:val="20"/>
        </w:rPr>
        <w:t>SAMOSTATNÉ PRÍLOHY</w:t>
      </w:r>
    </w:p>
    <w:p w14:paraId="3D4D5640" w14:textId="77777777" w:rsidR="00A1602B" w:rsidRPr="003A209D" w:rsidRDefault="00A1602B" w:rsidP="00A1602B">
      <w:pPr>
        <w:pStyle w:val="BodyText"/>
        <w:tabs>
          <w:tab w:val="left" w:pos="567"/>
        </w:tabs>
        <w:jc w:val="right"/>
        <w:rPr>
          <w:rFonts w:ascii="Gambria" w:hAnsi="Gambria" w:cs="Arial"/>
          <w:color w:val="000000"/>
          <w:sz w:val="20"/>
          <w:szCs w:val="20"/>
        </w:rPr>
      </w:pPr>
    </w:p>
    <w:p w14:paraId="5AF29EAE" w14:textId="77777777" w:rsidR="00A1602B" w:rsidRPr="003A209D" w:rsidRDefault="00A1602B" w:rsidP="00A1602B">
      <w:pPr>
        <w:pStyle w:val="BodyText"/>
        <w:tabs>
          <w:tab w:val="left" w:pos="567"/>
        </w:tabs>
        <w:jc w:val="left"/>
        <w:rPr>
          <w:rFonts w:ascii="Gambria" w:hAnsi="Gambria" w:cs="Arial"/>
          <w:b/>
          <w:i/>
          <w:color w:val="000000"/>
          <w:sz w:val="20"/>
          <w:szCs w:val="20"/>
        </w:rPr>
      </w:pPr>
      <w:r w:rsidRPr="003A209D">
        <w:rPr>
          <w:rFonts w:ascii="Gambria" w:hAnsi="Gambria" w:cs="Arial"/>
          <w:b/>
          <w:color w:val="000000"/>
          <w:sz w:val="20"/>
          <w:szCs w:val="20"/>
        </w:rPr>
        <w:t>Príloh</w:t>
      </w:r>
      <w:r>
        <w:rPr>
          <w:rFonts w:ascii="Gambria" w:hAnsi="Gambria" w:cs="Arial"/>
          <w:b/>
          <w:color w:val="000000"/>
          <w:sz w:val="20"/>
          <w:szCs w:val="20"/>
        </w:rPr>
        <w:t>y</w:t>
      </w:r>
      <w:r w:rsidRPr="003A209D">
        <w:rPr>
          <w:rFonts w:ascii="Gambria" w:hAnsi="Gambria" w:cs="Arial"/>
          <w:b/>
          <w:color w:val="000000"/>
          <w:sz w:val="20"/>
          <w:szCs w:val="20"/>
        </w:rPr>
        <w:t xml:space="preserve"> k časti D. </w:t>
      </w:r>
      <w:r w:rsidRPr="003A209D">
        <w:rPr>
          <w:rFonts w:ascii="Gambria" w:hAnsi="Gambria" w:cs="Arial"/>
          <w:b/>
          <w:i/>
          <w:color w:val="000000"/>
          <w:sz w:val="20"/>
          <w:szCs w:val="20"/>
        </w:rPr>
        <w:t>SAMOSTATNÉ PRÍLOHY</w:t>
      </w:r>
    </w:p>
    <w:p w14:paraId="28BE535A" w14:textId="77777777" w:rsidR="00A1602B" w:rsidRPr="00A1602B" w:rsidRDefault="00A1602B" w:rsidP="00A1602B">
      <w:pPr>
        <w:rPr>
          <w:rFonts w:ascii="Gambria" w:hAnsi="Gambria" w:cs="Arial"/>
          <w:sz w:val="20"/>
          <w:szCs w:val="20"/>
        </w:rPr>
      </w:pPr>
    </w:p>
    <w:p w14:paraId="28906AE1" w14:textId="77777777" w:rsidR="00A1602B" w:rsidRDefault="00A1602B" w:rsidP="00A1602B">
      <w:pPr>
        <w:rPr>
          <w:rFonts w:ascii="Gambria" w:hAnsi="Gambria" w:cs="Arial"/>
          <w:sz w:val="20"/>
          <w:szCs w:val="20"/>
        </w:rPr>
      </w:pPr>
      <w:r w:rsidRPr="00A1602B">
        <w:rPr>
          <w:rFonts w:ascii="Gambria" w:hAnsi="Gambria" w:cs="Arial"/>
          <w:sz w:val="20"/>
          <w:szCs w:val="20"/>
        </w:rPr>
        <w:t>Príloha č. 1 – Rámcová dohoda pre poistenie majetku a zodpovednosti za škodu</w:t>
      </w:r>
    </w:p>
    <w:p w14:paraId="476102A5" w14:textId="77777777" w:rsidR="00A1602B" w:rsidRDefault="00A1602B" w:rsidP="00A1602B">
      <w:pPr>
        <w:rPr>
          <w:rFonts w:ascii="Gambria" w:hAnsi="Gambria" w:cs="Arial"/>
          <w:sz w:val="20"/>
          <w:szCs w:val="20"/>
        </w:rPr>
      </w:pPr>
    </w:p>
    <w:p w14:paraId="6FAF43AA" w14:textId="77777777" w:rsidR="00A1602B" w:rsidRPr="001B5C44" w:rsidRDefault="00A1602B" w:rsidP="001B5C44">
      <w:pPr>
        <w:spacing w:line="259" w:lineRule="auto"/>
        <w:ind w:left="567" w:hanging="567"/>
        <w:jc w:val="center"/>
        <w:rPr>
          <w:rFonts w:ascii="Gambria" w:hAnsi="Gambria"/>
          <w:b/>
          <w:sz w:val="22"/>
          <w:szCs w:val="22"/>
        </w:rPr>
      </w:pPr>
      <w:bookmarkStart w:id="0" w:name="_GoBack"/>
      <w:r w:rsidRPr="001B5C44">
        <w:rPr>
          <w:rFonts w:ascii="Gambria" w:hAnsi="Gambria"/>
          <w:b/>
          <w:sz w:val="22"/>
          <w:szCs w:val="22"/>
        </w:rPr>
        <w:t>RÁMCOVÁ DOHODA</w:t>
      </w:r>
      <w:bookmarkEnd w:id="0"/>
    </w:p>
    <w:p w14:paraId="31C3B4CA" w14:textId="77777777" w:rsidR="00A1602B" w:rsidRPr="00EF70E1" w:rsidRDefault="00A1602B" w:rsidP="00A1602B">
      <w:pPr>
        <w:spacing w:line="259" w:lineRule="auto"/>
        <w:ind w:left="567" w:hanging="567"/>
        <w:jc w:val="center"/>
        <w:rPr>
          <w:rFonts w:ascii="Gambria" w:hAnsi="Gambria"/>
          <w:b/>
          <w:sz w:val="22"/>
          <w:szCs w:val="22"/>
        </w:rPr>
      </w:pPr>
      <w:r w:rsidRPr="00EF70E1">
        <w:rPr>
          <w:rFonts w:ascii="Gambria" w:hAnsi="Gambria"/>
          <w:b/>
          <w:sz w:val="22"/>
          <w:szCs w:val="22"/>
        </w:rPr>
        <w:t xml:space="preserve">PRE POISTENIE MAJETKU A POISTENIE ZODPOVEDNOSTI ZA ŠKODU </w:t>
      </w:r>
    </w:p>
    <w:p w14:paraId="3BFB6FBE" w14:textId="77777777" w:rsidR="00A1602B" w:rsidRPr="00EF70E1" w:rsidRDefault="00A1602B" w:rsidP="00A1602B">
      <w:pPr>
        <w:spacing w:line="259" w:lineRule="auto"/>
        <w:ind w:left="567" w:hanging="567"/>
        <w:jc w:val="center"/>
        <w:rPr>
          <w:rFonts w:ascii="Gambria" w:hAnsi="Gambria"/>
          <w:b/>
          <w:sz w:val="22"/>
          <w:szCs w:val="22"/>
        </w:rPr>
      </w:pPr>
    </w:p>
    <w:p w14:paraId="37FA9501" w14:textId="77777777" w:rsidR="00A1602B" w:rsidRPr="00EF70E1" w:rsidRDefault="00A1602B" w:rsidP="00A1602B">
      <w:pPr>
        <w:spacing w:line="259" w:lineRule="auto"/>
        <w:ind w:left="567" w:hanging="567"/>
        <w:jc w:val="center"/>
        <w:rPr>
          <w:rFonts w:ascii="Gambria" w:hAnsi="Gambria"/>
          <w:sz w:val="22"/>
          <w:szCs w:val="22"/>
        </w:rPr>
      </w:pPr>
      <w:r w:rsidRPr="00EF70E1">
        <w:rPr>
          <w:rFonts w:ascii="Gambria" w:hAnsi="Gambria"/>
          <w:sz w:val="22"/>
          <w:szCs w:val="22"/>
        </w:rPr>
        <w:t>(ďalej  „rámcová dohoda“)</w:t>
      </w:r>
    </w:p>
    <w:p w14:paraId="23331E0F" w14:textId="77777777" w:rsidR="00A1602B" w:rsidRPr="00EF70E1" w:rsidRDefault="00A1602B" w:rsidP="00A1602B">
      <w:pPr>
        <w:pStyle w:val="Title"/>
        <w:tabs>
          <w:tab w:val="left" w:pos="3420"/>
        </w:tabs>
        <w:spacing w:before="0" w:after="0" w:line="259" w:lineRule="auto"/>
        <w:ind w:left="567" w:hanging="567"/>
        <w:rPr>
          <w:rFonts w:ascii="Gambria" w:hAnsi="Gambria" w:cs="Times New Roman" w:hint="eastAsia"/>
          <w:bCs/>
          <w:sz w:val="22"/>
          <w:szCs w:val="22"/>
        </w:rPr>
      </w:pPr>
    </w:p>
    <w:p w14:paraId="7B14DEFE" w14:textId="77777777" w:rsidR="00A1602B" w:rsidRPr="00EF70E1" w:rsidRDefault="00A1602B" w:rsidP="00A1602B">
      <w:pPr>
        <w:spacing w:line="271" w:lineRule="auto"/>
        <w:ind w:left="567" w:hanging="567"/>
        <w:jc w:val="center"/>
        <w:rPr>
          <w:rFonts w:ascii="Gambria" w:hAnsi="Gambria" w:cs="Arial"/>
          <w:sz w:val="22"/>
          <w:szCs w:val="22"/>
        </w:rPr>
      </w:pPr>
      <w:r w:rsidRPr="00EF70E1">
        <w:rPr>
          <w:rFonts w:ascii="Gambria" w:hAnsi="Gambria" w:cs="Arial"/>
          <w:sz w:val="22"/>
          <w:szCs w:val="22"/>
        </w:rPr>
        <w:t xml:space="preserve">uzavretá v súlade s ustanoveniami zákona č. 343/2015 Z. z. o verejnom obstarávaní a o zmene a doplnení niektorých zákonov v znení neskorších predpisov </w:t>
      </w:r>
      <w:r>
        <w:rPr>
          <w:rFonts w:ascii="Gambria" w:hAnsi="Gambria" w:cs="Arial"/>
          <w:sz w:val="22"/>
          <w:szCs w:val="22"/>
        </w:rPr>
        <w:br/>
      </w:r>
      <w:r w:rsidRPr="00EF70E1">
        <w:rPr>
          <w:rFonts w:ascii="Gambria" w:hAnsi="Gambria" w:cs="Arial"/>
          <w:sz w:val="22"/>
          <w:szCs w:val="22"/>
        </w:rPr>
        <w:t xml:space="preserve">a v zmysle § 262 a 269 ods. 2 </w:t>
      </w:r>
      <w:r w:rsidRPr="00EF70E1">
        <w:rPr>
          <w:rFonts w:ascii="Gambria" w:hAnsi="Gambria" w:cs="Arial"/>
          <w:sz w:val="22"/>
          <w:szCs w:val="22"/>
        </w:rPr>
        <w:br/>
        <w:t xml:space="preserve">zákona č. 513/1991 Zb. Obchodného zákonníka v znení neskorších predpisov, ako aj podľa § 788 a nasl. zákona č. 40/1964 Zb. Občianskeho zákonníka </w:t>
      </w:r>
      <w:r>
        <w:rPr>
          <w:rFonts w:ascii="Gambria" w:hAnsi="Gambria" w:cs="Arial"/>
          <w:sz w:val="22"/>
          <w:szCs w:val="22"/>
        </w:rPr>
        <w:br/>
      </w:r>
      <w:r w:rsidRPr="00EF70E1">
        <w:rPr>
          <w:rFonts w:ascii="Gambria" w:hAnsi="Gambria" w:cs="Arial"/>
          <w:sz w:val="22"/>
          <w:szCs w:val="22"/>
        </w:rPr>
        <w:t xml:space="preserve">v znení neskorších predpisov </w:t>
      </w:r>
    </w:p>
    <w:p w14:paraId="6ABBA34B" w14:textId="77777777" w:rsidR="00A1602B" w:rsidRPr="00EF70E1" w:rsidRDefault="00A1602B" w:rsidP="00A1602B">
      <w:pPr>
        <w:spacing w:line="271" w:lineRule="auto"/>
        <w:ind w:left="567" w:hanging="567"/>
        <w:jc w:val="center"/>
        <w:rPr>
          <w:rFonts w:ascii="Gambria" w:hAnsi="Gambria" w:cs="Arial"/>
          <w:sz w:val="22"/>
          <w:szCs w:val="22"/>
        </w:rPr>
      </w:pPr>
      <w:r w:rsidRPr="00EF70E1">
        <w:rPr>
          <w:rFonts w:ascii="Gambria" w:hAnsi="Gambria" w:cs="Arial"/>
          <w:sz w:val="22"/>
          <w:szCs w:val="22"/>
        </w:rPr>
        <w:t>(ďalej ako „Občiansky zákonník“)</w:t>
      </w:r>
    </w:p>
    <w:p w14:paraId="3B74592D" w14:textId="77777777" w:rsidR="00A1602B" w:rsidRPr="00EF70E1" w:rsidRDefault="00A1602B" w:rsidP="00A1602B">
      <w:pPr>
        <w:pStyle w:val="BodyText"/>
        <w:spacing w:line="259" w:lineRule="auto"/>
        <w:ind w:left="567" w:hanging="567"/>
        <w:rPr>
          <w:rFonts w:ascii="Gambria" w:hAnsi="Gambria"/>
          <w:sz w:val="22"/>
          <w:szCs w:val="22"/>
        </w:rPr>
      </w:pPr>
    </w:p>
    <w:p w14:paraId="798DE085" w14:textId="77777777" w:rsidR="00A1602B" w:rsidRPr="00EF70E1" w:rsidRDefault="00A1602B" w:rsidP="00A1602B">
      <w:pPr>
        <w:spacing w:line="259" w:lineRule="auto"/>
        <w:ind w:left="567" w:hanging="567"/>
        <w:jc w:val="center"/>
        <w:rPr>
          <w:rFonts w:ascii="Gambria" w:hAnsi="Gambria"/>
          <w:b/>
          <w:sz w:val="22"/>
          <w:szCs w:val="22"/>
        </w:rPr>
      </w:pPr>
      <w:r w:rsidRPr="00EF70E1">
        <w:rPr>
          <w:rFonts w:ascii="Gambria" w:hAnsi="Gambria"/>
          <w:b/>
          <w:sz w:val="22"/>
          <w:szCs w:val="22"/>
        </w:rPr>
        <w:t>medzi nasledovnými zmluvnými stranami:</w:t>
      </w:r>
    </w:p>
    <w:p w14:paraId="52EB51F7" w14:textId="77777777" w:rsidR="00A1602B" w:rsidRPr="00EF70E1" w:rsidRDefault="00A1602B" w:rsidP="00A1602B">
      <w:pPr>
        <w:pStyle w:val="BodyText"/>
        <w:spacing w:line="259" w:lineRule="auto"/>
        <w:ind w:left="567" w:hanging="567"/>
        <w:rPr>
          <w:rFonts w:ascii="Gambria" w:hAnsi="Gambria"/>
          <w:sz w:val="22"/>
          <w:szCs w:val="22"/>
        </w:rPr>
      </w:pPr>
    </w:p>
    <w:p w14:paraId="28B4501E" w14:textId="77777777" w:rsidR="00A1602B" w:rsidRPr="00EF70E1" w:rsidRDefault="00A1602B" w:rsidP="00A1602B">
      <w:pPr>
        <w:spacing w:line="259" w:lineRule="auto"/>
        <w:ind w:left="567" w:hanging="567"/>
        <w:rPr>
          <w:rFonts w:ascii="Gambria" w:hAnsi="Gambria"/>
          <w:b/>
          <w:sz w:val="22"/>
          <w:szCs w:val="22"/>
          <w:u w:val="single"/>
        </w:rPr>
      </w:pPr>
      <w:r w:rsidRPr="00EF70E1">
        <w:rPr>
          <w:rFonts w:ascii="Gambria" w:hAnsi="Gambria"/>
          <w:b/>
          <w:sz w:val="22"/>
          <w:szCs w:val="22"/>
          <w:u w:val="single"/>
        </w:rPr>
        <w:t>1. Poistník</w:t>
      </w:r>
    </w:p>
    <w:p w14:paraId="28724B24" w14:textId="77777777" w:rsidR="00A1602B" w:rsidRPr="00EF70E1" w:rsidRDefault="00A1602B" w:rsidP="00A1602B">
      <w:pPr>
        <w:tabs>
          <w:tab w:val="left" w:pos="993"/>
        </w:tabs>
        <w:spacing w:line="259" w:lineRule="auto"/>
        <w:ind w:left="567" w:hanging="567"/>
        <w:rPr>
          <w:rFonts w:ascii="Gambria" w:hAnsi="Gambria"/>
          <w:b/>
          <w:sz w:val="22"/>
          <w:szCs w:val="22"/>
        </w:rPr>
      </w:pPr>
      <w:r w:rsidRPr="00EF70E1">
        <w:rPr>
          <w:rFonts w:ascii="Gambria" w:hAnsi="Gambria"/>
          <w:sz w:val="22"/>
          <w:szCs w:val="22"/>
        </w:rPr>
        <w:t xml:space="preserve">Názov  organizácie: </w:t>
      </w:r>
      <w:r w:rsidRPr="00EF70E1">
        <w:rPr>
          <w:rFonts w:ascii="Gambria" w:hAnsi="Gambria"/>
          <w:sz w:val="22"/>
          <w:szCs w:val="22"/>
        </w:rPr>
        <w:tab/>
      </w:r>
      <w:r w:rsidRPr="00EF70E1">
        <w:rPr>
          <w:rFonts w:ascii="Gambria" w:hAnsi="Gambria"/>
          <w:b/>
          <w:bCs/>
          <w:sz w:val="22"/>
          <w:szCs w:val="22"/>
        </w:rPr>
        <w:t>Národná banka Slovenska</w:t>
      </w:r>
    </w:p>
    <w:p w14:paraId="43B97F6A"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 xml:space="preserve">Sídlo: </w:t>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t>Imricha Karvaša 1, 813 25 Bratislava</w:t>
      </w:r>
    </w:p>
    <w:p w14:paraId="3E59EF75"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 xml:space="preserve">V zastúpení:  </w:t>
      </w:r>
      <w:r w:rsidRPr="00EF70E1">
        <w:rPr>
          <w:rFonts w:ascii="Gambria" w:hAnsi="Gambria"/>
          <w:bCs/>
          <w:sz w:val="22"/>
          <w:szCs w:val="22"/>
        </w:rPr>
        <w:tab/>
      </w:r>
      <w:r w:rsidRPr="00EF70E1">
        <w:rPr>
          <w:rFonts w:ascii="Gambria" w:hAnsi="Gambria"/>
          <w:bCs/>
          <w:sz w:val="22"/>
          <w:szCs w:val="22"/>
        </w:rPr>
        <w:tab/>
      </w:r>
      <w:r w:rsidRPr="00EF70E1">
        <w:rPr>
          <w:color w:val="00B0F0"/>
          <w:sz w:val="22"/>
          <w:szCs w:val="22"/>
        </w:rPr>
        <w:sym w:font="Symbol" w:char="F03C"/>
      </w:r>
      <w:r w:rsidRPr="00EF70E1">
        <w:rPr>
          <w:color w:val="00B0F0"/>
          <w:sz w:val="22"/>
          <w:szCs w:val="22"/>
        </w:rPr>
        <w:t xml:space="preserve">vyplní </w:t>
      </w:r>
      <w:r>
        <w:rPr>
          <w:color w:val="00B0F0"/>
          <w:sz w:val="22"/>
          <w:szCs w:val="22"/>
        </w:rPr>
        <w:t>verejný obstarávateľ</w:t>
      </w:r>
      <w:r w:rsidRPr="00EF70E1">
        <w:rPr>
          <w:color w:val="00B0F0"/>
          <w:sz w:val="22"/>
          <w:szCs w:val="22"/>
        </w:rPr>
        <w:sym w:font="Symbol" w:char="F03E"/>
      </w:r>
    </w:p>
    <w:p w14:paraId="1B442F34" w14:textId="77777777" w:rsidR="00A1602B" w:rsidRPr="00EF70E1" w:rsidRDefault="00A1602B" w:rsidP="00A1602B">
      <w:pPr>
        <w:tabs>
          <w:tab w:val="left" w:pos="993"/>
        </w:tabs>
        <w:spacing w:line="259" w:lineRule="auto"/>
        <w:ind w:left="567" w:hanging="567"/>
        <w:rPr>
          <w:rFonts w:ascii="Gambria" w:hAnsi="Gambria"/>
          <w:sz w:val="22"/>
          <w:szCs w:val="22"/>
        </w:rPr>
      </w:pPr>
      <w:r w:rsidRPr="00EF70E1">
        <w:rPr>
          <w:rFonts w:ascii="Gambria" w:hAnsi="Gambria"/>
          <w:bCs/>
          <w:sz w:val="22"/>
          <w:szCs w:val="22"/>
        </w:rPr>
        <w:t xml:space="preserve">IČO: </w:t>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t>30 844 789</w:t>
      </w:r>
    </w:p>
    <w:p w14:paraId="21D38D3F" w14:textId="77777777" w:rsidR="00A1602B" w:rsidRDefault="00A1602B" w:rsidP="00A1602B">
      <w:pPr>
        <w:tabs>
          <w:tab w:val="left" w:pos="993"/>
        </w:tabs>
        <w:spacing w:line="259" w:lineRule="auto"/>
        <w:ind w:left="567" w:hanging="567"/>
        <w:rPr>
          <w:rFonts w:ascii="Gambria" w:hAnsi="Gambria"/>
          <w:sz w:val="22"/>
          <w:szCs w:val="22"/>
        </w:rPr>
      </w:pPr>
      <w:r w:rsidRPr="00EF70E1">
        <w:rPr>
          <w:rFonts w:ascii="Gambria" w:hAnsi="Gambria"/>
          <w:sz w:val="22"/>
          <w:szCs w:val="22"/>
        </w:rPr>
        <w:t xml:space="preserve">DIČ: </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t>2020815654</w:t>
      </w:r>
    </w:p>
    <w:p w14:paraId="4BDE7BEF" w14:textId="77777777" w:rsidR="00A1602B" w:rsidRPr="00EF70E1" w:rsidRDefault="00A1602B" w:rsidP="00A1602B">
      <w:pPr>
        <w:tabs>
          <w:tab w:val="left" w:pos="993"/>
        </w:tabs>
        <w:spacing w:line="259" w:lineRule="auto"/>
        <w:ind w:left="567" w:hanging="567"/>
        <w:rPr>
          <w:rFonts w:ascii="Gambria" w:hAnsi="Gambria"/>
          <w:bCs/>
          <w:sz w:val="22"/>
          <w:szCs w:val="22"/>
        </w:rPr>
      </w:pPr>
      <w:r>
        <w:rPr>
          <w:rFonts w:ascii="Gambria" w:hAnsi="Gambria"/>
          <w:sz w:val="22"/>
          <w:szCs w:val="22"/>
        </w:rPr>
        <w:t xml:space="preserve">IČ DPH: </w:t>
      </w:r>
      <w:r>
        <w:rPr>
          <w:rFonts w:ascii="Gambria" w:hAnsi="Gambria"/>
          <w:sz w:val="22"/>
          <w:szCs w:val="22"/>
        </w:rPr>
        <w:tab/>
      </w:r>
      <w:r>
        <w:rPr>
          <w:rFonts w:ascii="Gambria" w:hAnsi="Gambria"/>
          <w:sz w:val="22"/>
          <w:szCs w:val="22"/>
        </w:rPr>
        <w:tab/>
      </w:r>
      <w:r>
        <w:rPr>
          <w:rFonts w:ascii="Gambria" w:hAnsi="Gambria"/>
          <w:sz w:val="22"/>
          <w:szCs w:val="22"/>
        </w:rPr>
        <w:tab/>
        <w:t>SK2020815654</w:t>
      </w:r>
      <w:r>
        <w:rPr>
          <w:rFonts w:ascii="Gambria" w:hAnsi="Gambria"/>
          <w:sz w:val="22"/>
          <w:szCs w:val="22"/>
        </w:rPr>
        <w:tab/>
      </w:r>
    </w:p>
    <w:p w14:paraId="314555B1"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 xml:space="preserve">Bankové spojenie: </w:t>
      </w:r>
      <w:r w:rsidRPr="00EF70E1">
        <w:rPr>
          <w:rFonts w:ascii="Gambria" w:hAnsi="Gambria"/>
          <w:bCs/>
          <w:sz w:val="22"/>
          <w:szCs w:val="22"/>
        </w:rPr>
        <w:tab/>
      </w:r>
      <w:r w:rsidRPr="00443A61">
        <w:rPr>
          <w:rFonts w:ascii="Gambria" w:hAnsi="Gambria"/>
          <w:bCs/>
          <w:sz w:val="22"/>
          <w:szCs w:val="22"/>
        </w:rPr>
        <w:t>Národná banka Slovenska</w:t>
      </w:r>
    </w:p>
    <w:p w14:paraId="4BF54749" w14:textId="77777777" w:rsidR="00A1602B" w:rsidRDefault="00A1602B" w:rsidP="00A1602B">
      <w:pPr>
        <w:spacing w:line="259" w:lineRule="auto"/>
        <w:ind w:left="567" w:hanging="567"/>
        <w:rPr>
          <w:color w:val="00B0F0"/>
          <w:sz w:val="22"/>
          <w:szCs w:val="22"/>
        </w:rPr>
      </w:pPr>
      <w:r w:rsidRPr="00EF70E1">
        <w:rPr>
          <w:rFonts w:ascii="Gambria" w:hAnsi="Gambria"/>
          <w:bCs/>
          <w:sz w:val="22"/>
          <w:szCs w:val="22"/>
        </w:rPr>
        <w:t>Číslo účtu:</w:t>
      </w:r>
      <w:r w:rsidRPr="00EF70E1">
        <w:rPr>
          <w:rFonts w:ascii="Gambria" w:hAnsi="Gambria"/>
          <w:bCs/>
          <w:sz w:val="22"/>
          <w:szCs w:val="22"/>
        </w:rPr>
        <w:tab/>
      </w:r>
      <w:r w:rsidRPr="00EF70E1">
        <w:rPr>
          <w:rFonts w:ascii="Gambria" w:hAnsi="Gambria"/>
          <w:bCs/>
          <w:sz w:val="22"/>
          <w:szCs w:val="22"/>
        </w:rPr>
        <w:tab/>
      </w:r>
      <w:r>
        <w:rPr>
          <w:rFonts w:ascii="Gambria" w:hAnsi="Gambria"/>
          <w:bCs/>
          <w:sz w:val="22"/>
          <w:szCs w:val="22"/>
        </w:rPr>
        <w:t>SK07 0720 0000 0000 0000 1919</w:t>
      </w:r>
    </w:p>
    <w:p w14:paraId="1BBC8926" w14:textId="77777777" w:rsidR="00A1602B" w:rsidRPr="00EF70E1" w:rsidRDefault="00A1602B" w:rsidP="00A1602B">
      <w:pPr>
        <w:tabs>
          <w:tab w:val="left" w:pos="993"/>
        </w:tabs>
        <w:spacing w:line="259" w:lineRule="auto"/>
        <w:ind w:left="567" w:hanging="567"/>
        <w:rPr>
          <w:rFonts w:ascii="Gambria" w:hAnsi="Gambria"/>
          <w:bCs/>
          <w:sz w:val="22"/>
          <w:szCs w:val="22"/>
        </w:rPr>
      </w:pPr>
    </w:p>
    <w:p w14:paraId="2AE6312D" w14:textId="77777777" w:rsidR="00A1602B" w:rsidRPr="00EF70E1" w:rsidRDefault="00A1602B" w:rsidP="00A1602B">
      <w:pPr>
        <w:pStyle w:val="Title"/>
        <w:tabs>
          <w:tab w:val="left" w:pos="3420"/>
        </w:tabs>
        <w:spacing w:before="0" w:after="0" w:line="259" w:lineRule="auto"/>
        <w:ind w:left="567" w:hanging="567"/>
        <w:jc w:val="left"/>
        <w:rPr>
          <w:rFonts w:ascii="Gambria" w:hAnsi="Gambria" w:cs="Times New Roman" w:hint="eastAsia"/>
          <w:b/>
          <w:bCs/>
          <w:sz w:val="22"/>
          <w:szCs w:val="22"/>
        </w:rPr>
      </w:pPr>
      <w:r w:rsidRPr="00EF70E1">
        <w:rPr>
          <w:rFonts w:ascii="Gambria" w:hAnsi="Gambria" w:cs="Times New Roman"/>
          <w:b/>
          <w:bCs/>
          <w:sz w:val="22"/>
          <w:szCs w:val="22"/>
        </w:rPr>
        <w:t>(ďalej len „poistník“ alebo aj „poistený“)</w:t>
      </w:r>
    </w:p>
    <w:p w14:paraId="5BF951EE" w14:textId="77777777" w:rsidR="00A1602B" w:rsidRPr="00EF70E1" w:rsidRDefault="00A1602B" w:rsidP="00A1602B">
      <w:pPr>
        <w:pStyle w:val="Title"/>
        <w:spacing w:before="0" w:after="0" w:line="259" w:lineRule="auto"/>
        <w:ind w:left="567" w:hanging="567"/>
        <w:jc w:val="center"/>
        <w:rPr>
          <w:rFonts w:ascii="Gambria" w:hAnsi="Gambria" w:cs="Times New Roman" w:hint="eastAsia"/>
          <w:sz w:val="22"/>
          <w:szCs w:val="22"/>
        </w:rPr>
      </w:pPr>
    </w:p>
    <w:p w14:paraId="06C8F55A" w14:textId="77777777" w:rsidR="00A1602B" w:rsidRPr="00EF70E1" w:rsidRDefault="00A1602B" w:rsidP="00A1602B">
      <w:pPr>
        <w:pStyle w:val="Title"/>
        <w:spacing w:before="0" w:after="0" w:line="259" w:lineRule="auto"/>
        <w:ind w:left="567" w:hanging="567"/>
        <w:jc w:val="left"/>
        <w:rPr>
          <w:rFonts w:ascii="Gambria" w:hAnsi="Gambria" w:cs="Times New Roman" w:hint="eastAsia"/>
          <w:b/>
          <w:sz w:val="22"/>
          <w:szCs w:val="22"/>
          <w:u w:val="single"/>
        </w:rPr>
      </w:pPr>
      <w:r w:rsidRPr="00EF70E1">
        <w:rPr>
          <w:rFonts w:ascii="Gambria" w:hAnsi="Gambria" w:cs="Times New Roman"/>
          <w:b/>
          <w:sz w:val="22"/>
          <w:szCs w:val="22"/>
          <w:u w:val="single"/>
        </w:rPr>
        <w:t>2. Poistiteľ</w:t>
      </w:r>
    </w:p>
    <w:p w14:paraId="667921A9"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Obchodné meno: </w:t>
      </w:r>
      <w:r w:rsidRPr="00EF70E1">
        <w:rPr>
          <w:rFonts w:ascii="Gambria" w:hAnsi="Gambria" w:cs="Times New Roman" w:hint="eastAsia"/>
          <w:bCs/>
          <w:color w:val="FF0000"/>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500D316D"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Sídlo : </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252E050E"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Zastúpený:</w:t>
      </w:r>
      <w:r w:rsidRPr="00EF70E1">
        <w:rPr>
          <w:rFonts w:ascii="Gambria" w:hAnsi="Gambria"/>
          <w:bCs/>
          <w:sz w:val="22"/>
          <w:szCs w:val="22"/>
        </w:rPr>
        <w:tab/>
      </w:r>
      <w:r w:rsidRPr="00EF70E1">
        <w:rPr>
          <w:rFonts w:ascii="Gambria" w:hAnsi="Gambria"/>
          <w:sz w:val="22"/>
          <w:szCs w:val="22"/>
        </w:rPr>
        <w:tab/>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7184B77C"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IČO:</w:t>
      </w:r>
      <w:r w:rsidRPr="00EF70E1">
        <w:rPr>
          <w:rFonts w:ascii="Gambria" w:hAnsi="Gambria"/>
          <w:sz w:val="22"/>
          <w:szCs w:val="22"/>
        </w:rPr>
        <w:t xml:space="preserve"> </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0B80023E"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IČ DPH:</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48E2B11B"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Bankové spojenie: </w:t>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3BB13592"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Číslo účtu: </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1860F6F0" w14:textId="77777777" w:rsidR="00A1602B" w:rsidRPr="00EF70E1" w:rsidRDefault="00A1602B" w:rsidP="00A1602B">
      <w:pPr>
        <w:tabs>
          <w:tab w:val="left" w:pos="1240"/>
        </w:tabs>
        <w:spacing w:line="259" w:lineRule="auto"/>
        <w:ind w:left="2127" w:hanging="2127"/>
        <w:rPr>
          <w:rFonts w:ascii="Gambria" w:hAnsi="Gambria"/>
          <w:sz w:val="22"/>
          <w:szCs w:val="22"/>
        </w:rPr>
      </w:pPr>
      <w:r w:rsidRPr="00EF70E1">
        <w:rPr>
          <w:rFonts w:ascii="Gambria" w:hAnsi="Gambria"/>
          <w:sz w:val="22"/>
          <w:szCs w:val="22"/>
        </w:rPr>
        <w:t>Registrovaný:</w:t>
      </w:r>
      <w:r w:rsidRPr="00EF70E1">
        <w:rPr>
          <w:rFonts w:ascii="Gambria" w:hAnsi="Gambria"/>
          <w:bCs/>
          <w:sz w:val="22"/>
          <w:szCs w:val="22"/>
        </w:rPr>
        <w:t xml:space="preserve"> </w:t>
      </w:r>
      <w:r w:rsidRPr="00EF70E1">
        <w:rPr>
          <w:rFonts w:ascii="Gambria" w:hAnsi="Gambria"/>
          <w:bCs/>
          <w:sz w:val="22"/>
          <w:szCs w:val="22"/>
        </w:rPr>
        <w:tab/>
        <w:t xml:space="preserve">v Obchodnom registri </w:t>
      </w:r>
      <w:r w:rsidRPr="00EF70E1">
        <w:rPr>
          <w:rFonts w:ascii="Gambria" w:hAnsi="Gambria"/>
          <w:sz w:val="22"/>
          <w:szCs w:val="22"/>
        </w:rPr>
        <w:t xml:space="preserve">Okresného súdu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r w:rsidRPr="00EF70E1">
        <w:rPr>
          <w:rFonts w:ascii="Gambria" w:hAnsi="Gambria"/>
          <w:bCs/>
          <w:sz w:val="22"/>
          <w:szCs w:val="22"/>
        </w:rPr>
        <w:t xml:space="preserve">, Oddiel: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r w:rsidRPr="00EF70E1">
        <w:rPr>
          <w:rFonts w:ascii="Gambria" w:hAnsi="Gambria"/>
          <w:bCs/>
          <w:sz w:val="22"/>
          <w:szCs w:val="22"/>
        </w:rPr>
        <w:t xml:space="preserve"> , vložka č.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5AEE00F2" w14:textId="77777777" w:rsidR="00A1602B" w:rsidRPr="00EF70E1" w:rsidRDefault="00A1602B" w:rsidP="00A1602B">
      <w:pPr>
        <w:tabs>
          <w:tab w:val="left" w:pos="1240"/>
        </w:tabs>
        <w:spacing w:line="259" w:lineRule="auto"/>
        <w:ind w:left="567" w:hanging="567"/>
        <w:rPr>
          <w:rFonts w:ascii="Gambria" w:hAnsi="Gambria"/>
          <w:b/>
          <w:sz w:val="22"/>
          <w:szCs w:val="22"/>
        </w:rPr>
      </w:pPr>
    </w:p>
    <w:p w14:paraId="77A720BF" w14:textId="77777777" w:rsidR="00A1602B" w:rsidRPr="00EF70E1" w:rsidRDefault="00A1602B" w:rsidP="00A1602B">
      <w:pPr>
        <w:tabs>
          <w:tab w:val="left" w:pos="1240"/>
        </w:tabs>
        <w:spacing w:line="259" w:lineRule="auto"/>
        <w:ind w:left="567" w:hanging="567"/>
        <w:rPr>
          <w:rFonts w:ascii="Gambria" w:hAnsi="Gambria"/>
          <w:b/>
          <w:sz w:val="22"/>
          <w:szCs w:val="22"/>
        </w:rPr>
      </w:pPr>
      <w:r w:rsidRPr="00EF70E1">
        <w:rPr>
          <w:rFonts w:ascii="Gambria" w:hAnsi="Gambria"/>
          <w:b/>
          <w:sz w:val="22"/>
          <w:szCs w:val="22"/>
        </w:rPr>
        <w:t>(ďalej  len  „</w:t>
      </w:r>
      <w:bookmarkStart w:id="1" w:name="_Hlk43116821"/>
      <w:r w:rsidRPr="00EF70E1">
        <w:rPr>
          <w:rFonts w:ascii="Gambria" w:hAnsi="Gambria"/>
          <w:b/>
          <w:sz w:val="22"/>
          <w:szCs w:val="22"/>
        </w:rPr>
        <w:t>poistiteľ</w:t>
      </w:r>
      <w:bookmarkEnd w:id="1"/>
      <w:r w:rsidRPr="00EF70E1">
        <w:rPr>
          <w:rFonts w:ascii="Gambria" w:hAnsi="Gambria"/>
          <w:b/>
          <w:sz w:val="22"/>
          <w:szCs w:val="22"/>
        </w:rPr>
        <w:t>“ a spolu s poistníkom len ako „zmluvné strany“)</w:t>
      </w:r>
    </w:p>
    <w:p w14:paraId="61A0419C" w14:textId="77777777" w:rsidR="00A1602B" w:rsidRPr="00EF70E1" w:rsidRDefault="00A1602B" w:rsidP="00A1602B">
      <w:pPr>
        <w:tabs>
          <w:tab w:val="left" w:pos="1240"/>
        </w:tabs>
        <w:spacing w:line="259" w:lineRule="auto"/>
        <w:ind w:left="567" w:hanging="567"/>
        <w:rPr>
          <w:rFonts w:ascii="Gambria" w:hAnsi="Gambria"/>
          <w:sz w:val="22"/>
          <w:szCs w:val="22"/>
        </w:rPr>
      </w:pPr>
    </w:p>
    <w:p w14:paraId="5C01F22F" w14:textId="77777777" w:rsidR="00A1602B" w:rsidRPr="00EF70E1" w:rsidRDefault="00A1602B" w:rsidP="00A1602B">
      <w:pPr>
        <w:tabs>
          <w:tab w:val="left" w:pos="1240"/>
        </w:tabs>
        <w:spacing w:line="259" w:lineRule="auto"/>
        <w:ind w:left="567" w:hanging="567"/>
        <w:rPr>
          <w:rFonts w:ascii="Gambria" w:hAnsi="Gambria"/>
          <w:sz w:val="22"/>
          <w:szCs w:val="22"/>
        </w:rPr>
      </w:pPr>
    </w:p>
    <w:p w14:paraId="51B4E039" w14:textId="77777777" w:rsidR="00A1602B" w:rsidRPr="00EF70E1" w:rsidRDefault="00A1602B" w:rsidP="00A1602B">
      <w:pPr>
        <w:keepNext/>
        <w:tabs>
          <w:tab w:val="left" w:pos="1240"/>
        </w:tabs>
        <w:spacing w:line="259" w:lineRule="auto"/>
        <w:ind w:left="567" w:hanging="567"/>
        <w:jc w:val="center"/>
        <w:rPr>
          <w:rFonts w:ascii="Gambria" w:hAnsi="Gambria"/>
          <w:b/>
          <w:sz w:val="22"/>
          <w:szCs w:val="22"/>
        </w:rPr>
      </w:pPr>
      <w:r w:rsidRPr="00EF70E1">
        <w:rPr>
          <w:rFonts w:ascii="Gambria" w:hAnsi="Gambria"/>
          <w:b/>
          <w:sz w:val="22"/>
          <w:szCs w:val="22"/>
        </w:rPr>
        <w:lastRenderedPageBreak/>
        <w:t>Preambula</w:t>
      </w:r>
    </w:p>
    <w:p w14:paraId="230ABACF" w14:textId="77777777" w:rsidR="00A1602B" w:rsidRPr="00EF70E1" w:rsidRDefault="00A1602B" w:rsidP="00A1602B">
      <w:pPr>
        <w:keepNext/>
        <w:tabs>
          <w:tab w:val="left" w:pos="1240"/>
        </w:tabs>
        <w:spacing w:line="259" w:lineRule="auto"/>
        <w:ind w:left="567" w:hanging="567"/>
        <w:jc w:val="center"/>
        <w:rPr>
          <w:rFonts w:ascii="Gambria" w:hAnsi="Gambria"/>
          <w:b/>
          <w:sz w:val="22"/>
          <w:szCs w:val="22"/>
        </w:rPr>
      </w:pPr>
    </w:p>
    <w:p w14:paraId="6DAD5157" w14:textId="77777777" w:rsidR="00A1602B" w:rsidRPr="003120B1" w:rsidRDefault="00A1602B" w:rsidP="00A1602B">
      <w:pPr>
        <w:pStyle w:val="ListParagraph"/>
        <w:keepNext/>
        <w:keepLines/>
        <w:widowControl/>
        <w:autoSpaceDE/>
        <w:autoSpaceDN/>
        <w:adjustRightInd/>
        <w:spacing w:line="271" w:lineRule="auto"/>
        <w:ind w:left="720" w:firstLine="0"/>
        <w:contextualSpacing/>
        <w:rPr>
          <w:rFonts w:ascii="Gambria" w:hAnsi="Gambria" w:cs="Arial"/>
          <w:i/>
          <w:caps/>
          <w:sz w:val="22"/>
          <w:szCs w:val="22"/>
        </w:rPr>
      </w:pPr>
      <w:r w:rsidRPr="003120B1">
        <w:rPr>
          <w:rFonts w:ascii="Gambria" w:hAnsi="Gambria" w:cs="Arial"/>
          <w:sz w:val="22"/>
          <w:szCs w:val="22"/>
        </w:rPr>
        <w:t xml:space="preserve">Zmluvné strany uzatvárajú túto rámcovú dohodu v súlade s výsledkom verejného obstarávania na dodanie predmetu </w:t>
      </w:r>
      <w:r w:rsidRPr="00285F6E">
        <w:rPr>
          <w:rFonts w:ascii="Gambria" w:hAnsi="Gambria" w:cs="Arial"/>
          <w:sz w:val="22"/>
          <w:szCs w:val="22"/>
        </w:rPr>
        <w:t xml:space="preserve">rámcovej dohody, ktorý tvorí 1. časť zákazky </w:t>
      </w:r>
      <w:r>
        <w:rPr>
          <w:rFonts w:ascii="Gambria" w:hAnsi="Gambria" w:cs="Arial"/>
          <w:sz w:val="22"/>
          <w:szCs w:val="22"/>
        </w:rPr>
        <w:br/>
      </w:r>
      <w:r w:rsidRPr="00285F6E">
        <w:rPr>
          <w:rFonts w:ascii="Gambria" w:hAnsi="Gambria" w:cs="Arial"/>
          <w:sz w:val="22"/>
          <w:szCs w:val="22"/>
        </w:rPr>
        <w:t>s názvom „</w:t>
      </w:r>
      <w:r w:rsidRPr="00E031D4">
        <w:rPr>
          <w:rFonts w:ascii="Gambria" w:hAnsi="Gambria" w:cs="Arial"/>
          <w:sz w:val="22"/>
          <w:szCs w:val="22"/>
        </w:rPr>
        <w:t>Poistné služby pre Národnú banku Slovenska</w:t>
      </w:r>
      <w:r w:rsidRPr="00285F6E">
        <w:rPr>
          <w:rFonts w:ascii="Gambria" w:hAnsi="Gambria" w:cs="Arial"/>
          <w:sz w:val="22"/>
          <w:szCs w:val="22"/>
        </w:rPr>
        <w:t xml:space="preserve">“ v súlade so  zákonom </w:t>
      </w:r>
      <w:r>
        <w:rPr>
          <w:rFonts w:ascii="Gambria" w:hAnsi="Gambria" w:cs="Arial"/>
          <w:sz w:val="22"/>
          <w:szCs w:val="22"/>
        </w:rPr>
        <w:br/>
      </w:r>
      <w:r w:rsidRPr="00285F6E">
        <w:rPr>
          <w:rFonts w:ascii="Gambria" w:hAnsi="Gambria" w:cs="Arial"/>
          <w:sz w:val="22"/>
          <w:szCs w:val="22"/>
        </w:rPr>
        <w:t xml:space="preserve">č. 343/2015 Z. z. o verejnom obstarávaní a o zmene a doplnení niektorých zákonov v znení neskorších predpisov (ďalej len „zákon o verejnom obstarávaní“). Oznámenie o vyhlásení verejného obstarávania bolo uverejnené vo Vestníku verejného obstarávania č. &lt;vyplní </w:t>
      </w:r>
      <w:r>
        <w:rPr>
          <w:rFonts w:ascii="Gambria" w:hAnsi="Gambria" w:cs="Arial"/>
          <w:sz w:val="22"/>
          <w:szCs w:val="22"/>
        </w:rPr>
        <w:t>VO</w:t>
      </w:r>
      <w:r w:rsidRPr="00285F6E">
        <w:rPr>
          <w:rFonts w:ascii="Gambria" w:hAnsi="Gambria" w:cs="Arial"/>
          <w:sz w:val="22"/>
          <w:szCs w:val="22"/>
        </w:rPr>
        <w:t xml:space="preserve">&gt;, zo dňa &lt;vyplní </w:t>
      </w:r>
      <w:r>
        <w:rPr>
          <w:rFonts w:ascii="Gambria" w:hAnsi="Gambria" w:cs="Arial"/>
          <w:sz w:val="22"/>
          <w:szCs w:val="22"/>
        </w:rPr>
        <w:t>VO</w:t>
      </w:r>
      <w:r w:rsidRPr="00285F6E">
        <w:rPr>
          <w:rFonts w:ascii="Gambria" w:hAnsi="Gambria" w:cs="Arial"/>
          <w:sz w:val="22"/>
          <w:szCs w:val="22"/>
        </w:rPr>
        <w:t xml:space="preserve">&gt; pod značkou &lt;vyplní </w:t>
      </w:r>
      <w:r>
        <w:rPr>
          <w:rFonts w:ascii="Gambria" w:hAnsi="Gambria" w:cs="Arial"/>
          <w:sz w:val="22"/>
          <w:szCs w:val="22"/>
        </w:rPr>
        <w:t>VO</w:t>
      </w:r>
      <w:r w:rsidRPr="00285F6E">
        <w:rPr>
          <w:rFonts w:ascii="Gambria" w:hAnsi="Gambria" w:cs="Arial"/>
          <w:sz w:val="22"/>
          <w:szCs w:val="22"/>
        </w:rPr>
        <w:t>&gt;</w:t>
      </w:r>
      <w:r w:rsidRPr="007012AA">
        <w:rPr>
          <w:rFonts w:ascii="Gambria" w:hAnsi="Gambria" w:cs="Arial"/>
          <w:sz w:val="22"/>
          <w:szCs w:val="22"/>
        </w:rPr>
        <w:t xml:space="preserve"> (ďalej iba „verejné obstarávanie“).</w:t>
      </w:r>
    </w:p>
    <w:p w14:paraId="2D167503" w14:textId="77777777" w:rsidR="00A1602B" w:rsidRPr="00EF70E1" w:rsidRDefault="00A1602B" w:rsidP="00A1602B">
      <w:pPr>
        <w:tabs>
          <w:tab w:val="left" w:pos="1240"/>
        </w:tabs>
        <w:spacing w:line="259" w:lineRule="auto"/>
        <w:ind w:left="567" w:hanging="567"/>
        <w:rPr>
          <w:rFonts w:ascii="Gambria" w:hAnsi="Gambria"/>
          <w:sz w:val="22"/>
          <w:szCs w:val="22"/>
        </w:rPr>
      </w:pPr>
    </w:p>
    <w:p w14:paraId="5193B80D"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I.</w:t>
      </w:r>
    </w:p>
    <w:p w14:paraId="2B089AE6"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Predmet rámcovej dohody</w:t>
      </w:r>
    </w:p>
    <w:p w14:paraId="042B2AAC" w14:textId="77777777" w:rsidR="00A1602B" w:rsidRPr="00EF70E1" w:rsidRDefault="00A1602B" w:rsidP="00A1602B">
      <w:pPr>
        <w:keepNext/>
        <w:spacing w:line="259" w:lineRule="auto"/>
        <w:ind w:left="567" w:hanging="567"/>
        <w:contextualSpacing/>
        <w:rPr>
          <w:rFonts w:ascii="Gambria" w:hAnsi="Gambria"/>
          <w:b/>
          <w:bCs/>
          <w:iCs/>
          <w:sz w:val="22"/>
          <w:szCs w:val="22"/>
          <w:u w:val="single"/>
        </w:rPr>
      </w:pPr>
    </w:p>
    <w:p w14:paraId="0710B60B" w14:textId="77777777" w:rsidR="00A1602B" w:rsidRPr="00EF70E1" w:rsidRDefault="00A1602B" w:rsidP="00A1602B">
      <w:pPr>
        <w:pStyle w:val="Default"/>
        <w:keepNext/>
        <w:numPr>
          <w:ilvl w:val="0"/>
          <w:numId w:val="1"/>
        </w:numPr>
        <w:spacing w:line="259" w:lineRule="auto"/>
        <w:ind w:left="567" w:hanging="567"/>
        <w:contextualSpacing/>
        <w:jc w:val="both"/>
        <w:rPr>
          <w:rFonts w:ascii="Gambria" w:hAnsi="Gambria"/>
          <w:b/>
          <w:color w:val="auto"/>
          <w:sz w:val="22"/>
          <w:szCs w:val="22"/>
        </w:rPr>
      </w:pPr>
      <w:r w:rsidRPr="00EF70E1">
        <w:rPr>
          <w:rFonts w:ascii="Gambria" w:hAnsi="Gambria"/>
          <w:color w:val="auto"/>
          <w:sz w:val="22"/>
          <w:szCs w:val="22"/>
        </w:rPr>
        <w:t xml:space="preserve">Poistiteľ sa zaväzuje poskytovať poistenému poistnú ochranu v súlade s podmienkami tejto rámcovej dohody a poistných zmlúv uzatvorených na základe tejto rámcovej dohody pre </w:t>
      </w:r>
      <w:r w:rsidRPr="00EF70E1">
        <w:rPr>
          <w:rFonts w:ascii="Gambria" w:hAnsi="Gambria" w:cs="Arial"/>
          <w:sz w:val="22"/>
          <w:szCs w:val="22"/>
        </w:rPr>
        <w:t xml:space="preserve">poistenie majetku a poistenie zodpovednosti za škodu </w:t>
      </w:r>
      <w:r w:rsidRPr="00EF70E1">
        <w:rPr>
          <w:rFonts w:ascii="Gambria" w:hAnsi="Gambria"/>
          <w:color w:val="auto"/>
          <w:sz w:val="22"/>
          <w:szCs w:val="22"/>
        </w:rPr>
        <w:t xml:space="preserve">(ďalej len „poskytovanie poistnej ochrany“) a poistník sa zaväzuje zaplatiť poistiteľovi poistné v súlade s podmienkami tejto rámcovej dohody. Poistiteľ </w:t>
      </w:r>
      <w:r w:rsidRPr="00EF70E1">
        <w:rPr>
          <w:rFonts w:ascii="Gambria" w:hAnsi="Gambria"/>
          <w:bCs/>
          <w:color w:val="auto"/>
          <w:sz w:val="22"/>
          <w:szCs w:val="22"/>
        </w:rPr>
        <w:t xml:space="preserve">nemôže znížiť požadovaný rozsah poistenia uvedený v tejto rámcovej dohode svojimi všeobecnými poistnými podmienkami a zmluvnými dojednaniami alebo doložkami. </w:t>
      </w:r>
      <w:r w:rsidRPr="00EF70E1">
        <w:rPr>
          <w:rFonts w:ascii="Gambria" w:hAnsi="Gambria"/>
          <w:color w:val="auto"/>
          <w:sz w:val="22"/>
          <w:szCs w:val="22"/>
        </w:rPr>
        <w:t>Poistenie je dojednané v rozsahu nasledovných predmetov a podmienok poistenia.</w:t>
      </w:r>
    </w:p>
    <w:p w14:paraId="27248842" w14:textId="77777777" w:rsidR="00A1602B" w:rsidRPr="00EF70E1" w:rsidRDefault="00A1602B" w:rsidP="00A1602B">
      <w:pPr>
        <w:pStyle w:val="Default"/>
        <w:numPr>
          <w:ilvl w:val="0"/>
          <w:numId w:val="1"/>
        </w:numPr>
        <w:spacing w:line="259" w:lineRule="auto"/>
        <w:ind w:left="567" w:hanging="567"/>
        <w:contextualSpacing/>
        <w:jc w:val="both"/>
        <w:rPr>
          <w:rFonts w:ascii="Gambria" w:hAnsi="Gambria"/>
          <w:b/>
          <w:color w:val="auto"/>
          <w:sz w:val="22"/>
          <w:szCs w:val="22"/>
        </w:rPr>
      </w:pPr>
      <w:r w:rsidRPr="00EF70E1">
        <w:rPr>
          <w:rFonts w:ascii="Gambria" w:hAnsi="Gambria"/>
          <w:sz w:val="22"/>
          <w:szCs w:val="22"/>
        </w:rPr>
        <w:t>Predmetom rámcovej dohody je poistenie majetku proti živelným rizikám, odcudzeniu a vandalizmu, poistenie strojov, strojových zariadení a elektroniky, poistenie skla, poistenie všeobecnej zodpovednosti za škodu</w:t>
      </w:r>
      <w:r w:rsidRPr="00EF70E1">
        <w:rPr>
          <w:rFonts w:ascii="Gambria" w:hAnsi="Gambria" w:cs="Arial"/>
          <w:bCs/>
          <w:sz w:val="22"/>
          <w:szCs w:val="22"/>
        </w:rPr>
        <w:t>.</w:t>
      </w:r>
    </w:p>
    <w:p w14:paraId="3F8C11A9"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 xml:space="preserve">Predmety poistenia, poistné sumy, poistné sadzby sú uvedené v  prílohe č. 1 tejto rámcovej dohody. </w:t>
      </w:r>
    </w:p>
    <w:p w14:paraId="7B8E5762"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Poistenie majetku sa dojednáva pre veci, ktoré sú majetkom poistníka, nachádzajú sa v správe poistníka  a sú vedené v účtovníctve alebo v majetkovej evidencii, prípadne poisťovaný majetok je ku dňu uzatvorenia rámcovej dohody zverený do správy poistníka. Ďalej sa poistenie môže vzťahovať aj na veci, ktoré má poistník  v dočasnom užívaní na základe zmluvy a pre cudzie veci, ktoré má vo vlastnej účtovnej evidencii, prípadne inej evidencii.</w:t>
      </w:r>
    </w:p>
    <w:p w14:paraId="1EBB4663"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 xml:space="preserve">Poistiteľ </w:t>
      </w:r>
      <w:r w:rsidRPr="00EF70E1">
        <w:rPr>
          <w:rFonts w:ascii="Gambria" w:hAnsi="Gambria"/>
          <w:iCs/>
          <w:sz w:val="22"/>
          <w:szCs w:val="22"/>
        </w:rPr>
        <w:t>sa za týmto účelom zaväzuje v súlade s podmienkami rámcovej dohody v rámci jej platnosti uzavrieť s poistníkom poistnú zmluvu / poistné zmluvy, predmetom ktorej bude poistenie definované v čl. II Rozsah poistenia tejto rámcovej dohody.</w:t>
      </w:r>
    </w:p>
    <w:p w14:paraId="1187FA24"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iCs/>
          <w:sz w:val="22"/>
          <w:szCs w:val="22"/>
        </w:rPr>
        <w:t>Poistné zmluvy budú uzavreté na základe požiadavky poistníka.</w:t>
      </w:r>
    </w:p>
    <w:p w14:paraId="2893F712" w14:textId="77777777" w:rsidR="00A1602B" w:rsidRPr="00EF70E1" w:rsidRDefault="00A1602B" w:rsidP="00A1602B">
      <w:pPr>
        <w:pStyle w:val="ListParagraph"/>
        <w:spacing w:line="259" w:lineRule="auto"/>
        <w:ind w:left="567" w:hanging="567"/>
        <w:rPr>
          <w:rFonts w:ascii="Gambria" w:hAnsi="Gambria"/>
          <w:sz w:val="22"/>
          <w:szCs w:val="22"/>
        </w:rPr>
      </w:pPr>
    </w:p>
    <w:p w14:paraId="4F7A25A9"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sz w:val="22"/>
          <w:szCs w:val="22"/>
          <w:u w:val="single"/>
        </w:rPr>
        <w:t>Článok II.</w:t>
      </w:r>
    </w:p>
    <w:p w14:paraId="1C03A01C" w14:textId="77777777" w:rsidR="00A1602B" w:rsidRPr="00EF70E1" w:rsidRDefault="00A1602B" w:rsidP="00A1602B">
      <w:pPr>
        <w:pStyle w:val="BodyTextIndent"/>
        <w:spacing w:after="0" w:line="259" w:lineRule="auto"/>
        <w:ind w:left="567" w:hanging="567"/>
        <w:jc w:val="center"/>
        <w:rPr>
          <w:rFonts w:ascii="Gambria" w:hAnsi="Gambria"/>
          <w:b/>
          <w:bCs/>
          <w:sz w:val="22"/>
          <w:szCs w:val="22"/>
        </w:rPr>
      </w:pPr>
      <w:r w:rsidRPr="00EF70E1">
        <w:rPr>
          <w:rFonts w:ascii="Gambria" w:hAnsi="Gambria"/>
          <w:b/>
          <w:bCs/>
          <w:sz w:val="22"/>
          <w:szCs w:val="22"/>
          <w:u w:val="single"/>
        </w:rPr>
        <w:t>Predmet a rozsah poistenia</w:t>
      </w:r>
    </w:p>
    <w:p w14:paraId="5222123C" w14:textId="77777777" w:rsidR="00A1602B" w:rsidRPr="00EF70E1" w:rsidRDefault="00A1602B" w:rsidP="00A1602B">
      <w:pPr>
        <w:spacing w:line="259" w:lineRule="auto"/>
        <w:ind w:left="567" w:hanging="567"/>
        <w:rPr>
          <w:rFonts w:ascii="Gambria" w:hAnsi="Gambria"/>
          <w:sz w:val="22"/>
          <w:szCs w:val="22"/>
        </w:rPr>
      </w:pPr>
    </w:p>
    <w:p w14:paraId="00226D41" w14:textId="77777777" w:rsidR="00A1602B" w:rsidRPr="00EF70E1" w:rsidRDefault="00A1602B" w:rsidP="00A1602B">
      <w:pPr>
        <w:pStyle w:val="BodyText"/>
        <w:numPr>
          <w:ilvl w:val="0"/>
          <w:numId w:val="8"/>
        </w:numPr>
        <w:spacing w:line="259" w:lineRule="auto"/>
        <w:ind w:left="567" w:hanging="567"/>
        <w:jc w:val="left"/>
        <w:rPr>
          <w:rFonts w:ascii="Gambria" w:hAnsi="Gambria"/>
          <w:b/>
          <w:bCs/>
          <w:sz w:val="22"/>
          <w:szCs w:val="22"/>
        </w:rPr>
      </w:pPr>
      <w:r w:rsidRPr="00EF70E1">
        <w:rPr>
          <w:rFonts w:ascii="Gambria" w:hAnsi="Gambria"/>
          <w:b/>
          <w:bCs/>
          <w:sz w:val="22"/>
          <w:szCs w:val="22"/>
        </w:rPr>
        <w:t>POISTENIE MAJETKU</w:t>
      </w:r>
    </w:p>
    <w:p w14:paraId="43C607D7" w14:textId="77777777" w:rsidR="00A1602B" w:rsidRPr="00EF70E1" w:rsidRDefault="00A1602B" w:rsidP="00A1602B">
      <w:pPr>
        <w:pStyle w:val="BodyText"/>
        <w:spacing w:line="259" w:lineRule="auto"/>
        <w:ind w:left="567" w:hanging="567"/>
        <w:jc w:val="left"/>
        <w:rPr>
          <w:rFonts w:ascii="Gambria" w:hAnsi="Gambria"/>
          <w:b/>
          <w:bCs/>
          <w:sz w:val="22"/>
          <w:szCs w:val="22"/>
        </w:rPr>
      </w:pPr>
    </w:p>
    <w:p w14:paraId="1F27A9E9" w14:textId="77777777" w:rsidR="00A1602B" w:rsidRPr="00EF70E1" w:rsidRDefault="00A1602B" w:rsidP="00A1602B">
      <w:pPr>
        <w:pStyle w:val="BodyText"/>
        <w:numPr>
          <w:ilvl w:val="1"/>
          <w:numId w:val="17"/>
        </w:numPr>
        <w:spacing w:line="259" w:lineRule="auto"/>
        <w:ind w:left="567" w:hanging="567"/>
        <w:rPr>
          <w:rFonts w:ascii="Gambria" w:hAnsi="Gambria" w:cs="Arial"/>
          <w:b/>
          <w:bCs/>
          <w:smallCaps/>
          <w:sz w:val="22"/>
          <w:szCs w:val="22"/>
        </w:rPr>
      </w:pPr>
      <w:r w:rsidRPr="00EF70E1">
        <w:rPr>
          <w:rFonts w:ascii="Gambria" w:hAnsi="Gambria"/>
          <w:b/>
          <w:bCs/>
          <w:sz w:val="22"/>
          <w:szCs w:val="22"/>
        </w:rPr>
        <w:t>Predmet poistenia – komplexné živelné riziko</w:t>
      </w:r>
    </w:p>
    <w:p w14:paraId="4FAE1999" w14:textId="77777777" w:rsidR="00A1602B" w:rsidRPr="00EF70E1" w:rsidRDefault="00A1602B" w:rsidP="00A1602B">
      <w:pPr>
        <w:pStyle w:val="BodyText"/>
        <w:numPr>
          <w:ilvl w:val="0"/>
          <w:numId w:val="26"/>
        </w:numPr>
        <w:spacing w:line="259" w:lineRule="auto"/>
        <w:ind w:left="567" w:hanging="567"/>
        <w:rPr>
          <w:rFonts w:ascii="Gambria" w:hAnsi="Gambria" w:cs="Arial"/>
          <w:bCs/>
          <w:smallCaps/>
          <w:sz w:val="22"/>
          <w:szCs w:val="22"/>
        </w:rPr>
      </w:pPr>
      <w:r w:rsidRPr="00EF70E1">
        <w:rPr>
          <w:rFonts w:ascii="Gambria" w:hAnsi="Gambria"/>
          <w:bCs/>
          <w:sz w:val="22"/>
          <w:szCs w:val="22"/>
        </w:rPr>
        <w:t xml:space="preserve">Súbor nehnuteľného majetku – budovy, haly a stavby vrátane stavebných súčastí, príslušenstva na novú cenu, </w:t>
      </w:r>
    </w:p>
    <w:p w14:paraId="6518E722"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Súbor hnuteľného majetku vrátane strojov, prístrojov a zariadení,</w:t>
      </w:r>
      <w:r>
        <w:rPr>
          <w:rFonts w:ascii="Gambria" w:hAnsi="Gambria" w:cs="Arial"/>
          <w:bCs/>
          <w:sz w:val="22"/>
          <w:szCs w:val="22"/>
        </w:rPr>
        <w:t xml:space="preserve"> dlhodobý hmotný majetok</w:t>
      </w:r>
      <w:r w:rsidRPr="00EF70E1">
        <w:rPr>
          <w:rFonts w:ascii="Gambria" w:hAnsi="Gambria" w:cs="Arial"/>
          <w:bCs/>
          <w:sz w:val="22"/>
          <w:szCs w:val="22"/>
        </w:rPr>
        <w:t xml:space="preserve">, inventáru,  mobiliáru, drobného majetku v používaní </w:t>
      </w:r>
      <w:r>
        <w:rPr>
          <w:rFonts w:ascii="Gambria" w:hAnsi="Gambria" w:cs="Arial"/>
          <w:bCs/>
          <w:sz w:val="22"/>
          <w:szCs w:val="22"/>
        </w:rPr>
        <w:t>n</w:t>
      </w:r>
      <w:r w:rsidRPr="00EF70E1">
        <w:rPr>
          <w:rFonts w:ascii="Gambria" w:hAnsi="Gambria" w:cs="Arial"/>
          <w:bCs/>
          <w:sz w:val="22"/>
          <w:szCs w:val="22"/>
        </w:rPr>
        <w:t>a podsúvahovom účte, dopravných prostriedkov bez evidenčného čísla vozidla s výnimkou vozidiel, ktorým je pridelené evidenčné číslo vozidla, lodí a lietadiel na novú cenu,</w:t>
      </w:r>
    </w:p>
    <w:p w14:paraId="0767FA6B"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Súbor zásob na novú cenu,</w:t>
      </w:r>
    </w:p>
    <w:p w14:paraId="3AFE8009"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lastRenderedPageBreak/>
        <w:t>Obstaranie hmotných investícií na novú cenu,</w:t>
      </w:r>
    </w:p>
    <w:p w14:paraId="5082B6B4" w14:textId="77777777" w:rsidR="00A1602B" w:rsidRPr="00EF70E1" w:rsidRDefault="00A1602B" w:rsidP="00A1602B">
      <w:pPr>
        <w:pStyle w:val="BodyText"/>
        <w:numPr>
          <w:ilvl w:val="0"/>
          <w:numId w:val="26"/>
        </w:numPr>
        <w:spacing w:line="259" w:lineRule="auto"/>
        <w:ind w:left="567" w:right="282" w:hanging="567"/>
        <w:jc w:val="left"/>
        <w:rPr>
          <w:rFonts w:ascii="Gambria" w:hAnsi="Gambria" w:cs="Arial"/>
          <w:bCs/>
          <w:sz w:val="22"/>
          <w:szCs w:val="22"/>
        </w:rPr>
      </w:pPr>
      <w:r w:rsidRPr="00EF70E1">
        <w:rPr>
          <w:rFonts w:ascii="Gambria" w:hAnsi="Gambria" w:cs="Arial"/>
          <w:bCs/>
          <w:sz w:val="22"/>
          <w:szCs w:val="22"/>
        </w:rPr>
        <w:t xml:space="preserve">Zbierky umeleckých predmetov, </w:t>
      </w:r>
      <w:r w:rsidRPr="00371342">
        <w:rPr>
          <w:rFonts w:ascii="Gambria" w:hAnsi="Gambria" w:cs="Arial"/>
          <w:bCs/>
          <w:sz w:val="22"/>
          <w:szCs w:val="22"/>
        </w:rPr>
        <w:t xml:space="preserve">zbierkové predmety </w:t>
      </w:r>
      <w:r w:rsidRPr="00EF70E1">
        <w:rPr>
          <w:rFonts w:ascii="Gambria" w:hAnsi="Gambria" w:cs="Arial"/>
          <w:bCs/>
          <w:sz w:val="22"/>
          <w:szCs w:val="22"/>
        </w:rPr>
        <w:t xml:space="preserve">(napr.: </w:t>
      </w:r>
      <w:r w:rsidRPr="00BC7DB4">
        <w:rPr>
          <w:rFonts w:ascii="Gambria" w:hAnsi="Gambria" w:cs="Arial"/>
          <w:bCs/>
          <w:sz w:val="22"/>
          <w:szCs w:val="22"/>
        </w:rPr>
        <w:t>mince, medaily,</w:t>
      </w:r>
      <w:r>
        <w:rPr>
          <w:rFonts w:ascii="Gambria" w:hAnsi="Gambria" w:cs="Arial"/>
          <w:bCs/>
          <w:sz w:val="22"/>
          <w:szCs w:val="22"/>
        </w:rPr>
        <w:t xml:space="preserve"> </w:t>
      </w:r>
      <w:r w:rsidRPr="00EF70E1">
        <w:rPr>
          <w:rFonts w:ascii="Gambria" w:hAnsi="Gambria" w:cs="Arial"/>
          <w:bCs/>
          <w:sz w:val="22"/>
          <w:szCs w:val="22"/>
        </w:rPr>
        <w:t>obrazy, sochy, knihy,</w:t>
      </w:r>
      <w:r>
        <w:rPr>
          <w:rFonts w:ascii="Gambria" w:hAnsi="Gambria" w:cs="Arial"/>
          <w:bCs/>
          <w:sz w:val="22"/>
          <w:szCs w:val="22"/>
        </w:rPr>
        <w:t xml:space="preserve"> </w:t>
      </w:r>
      <w:r w:rsidRPr="00EF70E1">
        <w:rPr>
          <w:rFonts w:ascii="Gambria" w:hAnsi="Gambria" w:cs="Arial"/>
          <w:bCs/>
          <w:sz w:val="22"/>
          <w:szCs w:val="22"/>
        </w:rPr>
        <w:t>hudobné nástroje atď.)</w:t>
      </w:r>
      <w:r>
        <w:t xml:space="preserve"> a </w:t>
      </w:r>
      <w:r w:rsidRPr="004440C4">
        <w:rPr>
          <w:rFonts w:ascii="Gambria" w:hAnsi="Gambria" w:cs="Arial"/>
          <w:bCs/>
          <w:sz w:val="22"/>
          <w:szCs w:val="22"/>
        </w:rPr>
        <w:t>zapožičané cudzie zbie</w:t>
      </w:r>
      <w:r>
        <w:rPr>
          <w:rFonts w:ascii="Gambria" w:hAnsi="Gambria" w:cs="Arial"/>
          <w:bCs/>
          <w:sz w:val="22"/>
          <w:szCs w:val="22"/>
        </w:rPr>
        <w:t>r</w:t>
      </w:r>
      <w:r w:rsidRPr="004440C4">
        <w:rPr>
          <w:rFonts w:ascii="Gambria" w:hAnsi="Gambria" w:cs="Arial"/>
          <w:bCs/>
          <w:sz w:val="22"/>
          <w:szCs w:val="22"/>
        </w:rPr>
        <w:t>ky</w:t>
      </w:r>
      <w:r>
        <w:rPr>
          <w:rFonts w:ascii="Gambria" w:hAnsi="Gambria" w:cs="Arial"/>
          <w:bCs/>
          <w:sz w:val="22"/>
          <w:szCs w:val="22"/>
        </w:rPr>
        <w:t>,</w:t>
      </w:r>
    </w:p>
    <w:p w14:paraId="41A804A3"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Terorizmus na novú cenu,</w:t>
      </w:r>
    </w:p>
    <w:p w14:paraId="65C6B49C"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Odpratávacie, demolačné, demontážn</w:t>
      </w:r>
      <w:r>
        <w:rPr>
          <w:rFonts w:ascii="Gambria" w:hAnsi="Gambria" w:cs="Arial"/>
          <w:bCs/>
          <w:sz w:val="22"/>
          <w:szCs w:val="22"/>
        </w:rPr>
        <w:t>e</w:t>
      </w:r>
      <w:r w:rsidRPr="00EF70E1">
        <w:rPr>
          <w:rFonts w:ascii="Gambria" w:hAnsi="Gambria" w:cs="Arial"/>
          <w:bCs/>
          <w:sz w:val="22"/>
          <w:szCs w:val="22"/>
        </w:rPr>
        <w:t xml:space="preserve"> a remontážne náklady na limit plnenia.</w:t>
      </w:r>
    </w:p>
    <w:p w14:paraId="130BA4E2" w14:textId="77777777" w:rsidR="00A1602B" w:rsidRPr="00EF70E1" w:rsidRDefault="00A1602B" w:rsidP="00A1602B">
      <w:pPr>
        <w:pStyle w:val="BodyText"/>
        <w:spacing w:line="259" w:lineRule="auto"/>
        <w:ind w:left="567" w:hanging="567"/>
        <w:jc w:val="left"/>
        <w:rPr>
          <w:rFonts w:ascii="Gambria" w:hAnsi="Gambria"/>
          <w:b/>
          <w:bCs/>
          <w:sz w:val="22"/>
          <w:szCs w:val="22"/>
        </w:rPr>
      </w:pPr>
    </w:p>
    <w:p w14:paraId="40C12E45" w14:textId="77777777" w:rsidR="00A1602B" w:rsidRPr="00EF70E1" w:rsidRDefault="00A1602B" w:rsidP="00A1602B">
      <w:pPr>
        <w:pStyle w:val="ListParagraph"/>
        <w:widowControl/>
        <w:numPr>
          <w:ilvl w:val="1"/>
          <w:numId w:val="17"/>
        </w:numPr>
        <w:autoSpaceDE/>
        <w:autoSpaceDN/>
        <w:adjustRightInd/>
        <w:spacing w:line="259" w:lineRule="auto"/>
        <w:ind w:left="567" w:hanging="567"/>
        <w:jc w:val="left"/>
        <w:rPr>
          <w:rFonts w:ascii="Gambria" w:hAnsi="Gambria"/>
          <w:b/>
          <w:bCs/>
          <w:iCs/>
          <w:sz w:val="22"/>
          <w:szCs w:val="22"/>
        </w:rPr>
      </w:pPr>
      <w:r w:rsidRPr="00EF70E1">
        <w:rPr>
          <w:rFonts w:ascii="Gambria" w:hAnsi="Gambria"/>
          <w:b/>
          <w:bCs/>
          <w:iCs/>
          <w:sz w:val="22"/>
          <w:szCs w:val="22"/>
        </w:rPr>
        <w:t>Minimálny rozsah poistných rizík komplexného živelného rizika a vodovodných škôd zahŕňa škody spôsobené najmä:</w:t>
      </w:r>
    </w:p>
    <w:p w14:paraId="4E18E16F"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požiarom,</w:t>
      </w:r>
    </w:p>
    <w:p w14:paraId="2B8D4D6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výbuchom,</w:t>
      </w:r>
    </w:p>
    <w:p w14:paraId="66DEEF02"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priamym úderom blesku,</w:t>
      </w:r>
    </w:p>
    <w:p w14:paraId="11841F5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nárazom alebo zrútením posádkou obsadeného letiaceho telesa, jeho časti alebo jeho nákladu,</w:t>
      </w:r>
      <w:r w:rsidRPr="00EF70E1">
        <w:rPr>
          <w:rFonts w:ascii="Gambria" w:hAnsi="Gambria"/>
          <w:sz w:val="22"/>
          <w:szCs w:val="22"/>
        </w:rPr>
        <w:drawing>
          <wp:inline distT="0" distB="0" distL="0" distR="0" wp14:anchorId="31F536F7" wp14:editId="274A6099">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8"/>
                    <a:stretch>
                      <a:fillRect/>
                    </a:stretch>
                  </pic:blipFill>
                  <pic:spPr>
                    <a:xfrm>
                      <a:off x="0" y="0"/>
                      <a:ext cx="4569" cy="4568"/>
                    </a:xfrm>
                    <a:prstGeom prst="rect">
                      <a:avLst/>
                    </a:prstGeom>
                  </pic:spPr>
                </pic:pic>
              </a:graphicData>
            </a:graphic>
          </wp:inline>
        </w:drawing>
      </w:r>
    </w:p>
    <w:p w14:paraId="14B2C02C"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víchricou alebo iným druhom vetra o rýchlosti nad 70 km/hod,</w:t>
      </w:r>
    </w:p>
    <w:p w14:paraId="2883059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krupobitím,</w:t>
      </w:r>
    </w:p>
    <w:p w14:paraId="457B49A0"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povodňou alebo záplavou,</w:t>
      </w:r>
    </w:p>
    <w:p w14:paraId="25C4670D"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cs="Arial"/>
          <w:sz w:val="22"/>
          <w:szCs w:val="22"/>
        </w:rPr>
        <w:t xml:space="preserve">záplavou následkom búrkového prívalu </w:t>
      </w:r>
      <w:r w:rsidRPr="00EF70E1">
        <w:rPr>
          <w:rFonts w:ascii="Gambria" w:hAnsi="Gambria"/>
          <w:sz w:val="22"/>
          <w:szCs w:val="22"/>
        </w:rPr>
        <w:t xml:space="preserve">t. z. škoda spôsobená deštruktívnym pôsobením vytvorenej súvislej vodnej plochy, ktorá určitú dobu stojí alebo prúdi v mieste poistenia ako dôsledok búrky, </w:t>
      </w:r>
    </w:p>
    <w:p w14:paraId="7AB23516"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náhlym zosúvaním pôdy, zrútením skál alebo zemín, pokiaľ k nim nedošlo v súvislosti s priemyselnou alebo stavebnou činnosťou,</w:t>
      </w:r>
    </w:p>
    <w:p w14:paraId="21AB854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zosúvaním alebo zrútením lavín,</w:t>
      </w:r>
    </w:p>
    <w:p w14:paraId="4C23D69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pádom stromov, stožiarov a iných predmetov,</w:t>
      </w:r>
    </w:p>
    <w:p w14:paraId="15ED5A98"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zemetrasením,</w:t>
      </w:r>
    </w:p>
    <w:p w14:paraId="4DB941F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vodou unikajúcou z prívodného alebo odvádzacieho potrubia vodovodných zariadení a z vodovodných zariadení vrátane poplatkov i vodné, stočné/ za vodu, ktorá unikla z vodovodného potrubia a zariadenia z akejkoľvek príčiny,</w:t>
      </w:r>
    </w:p>
    <w:p w14:paraId="5724D59B"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kvapalinou alebo parou unikajúcou z ústredného, etážového alebo diaľkového kúrenia,</w:t>
      </w:r>
    </w:p>
    <w:p w14:paraId="3B23879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hasiacim médiom samovoľne unikajúcim zo stabilného hasiaceho zariadenia,</w:t>
      </w:r>
    </w:p>
    <w:p w14:paraId="5D1524A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kvapalinou unikajúcou zo solárnych systémov alebo klimatizačných zariadení,</w:t>
      </w:r>
    </w:p>
    <w:p w14:paraId="0F2C56D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chladiarenským médiom unikajúcim z chladiarenských zariadení a rozvodov,</w:t>
      </w:r>
    </w:p>
    <w:p w14:paraId="330B473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hasením, strhnutím alebo evakuáciou v dôsledku živelnej udalosti,</w:t>
      </w:r>
    </w:p>
    <w:p w14:paraId="52B8317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drawing>
          <wp:anchor distT="0" distB="0" distL="114300" distR="114300" simplePos="0" relativeHeight="251659264" behindDoc="0" locked="0" layoutInCell="1" allowOverlap="0" wp14:anchorId="6B689044" wp14:editId="257373DF">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9"/>
                    <a:stretch>
                      <a:fillRect/>
                    </a:stretch>
                  </pic:blipFill>
                  <pic:spPr>
                    <a:xfrm>
                      <a:off x="0" y="0"/>
                      <a:ext cx="18274"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0288" behindDoc="0" locked="0" layoutInCell="1" allowOverlap="0" wp14:anchorId="5930EC88" wp14:editId="44EEF1ED">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0"/>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1312" behindDoc="0" locked="0" layoutInCell="1" allowOverlap="0" wp14:anchorId="1DC3E6BE" wp14:editId="7F77D219">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1"/>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2336" behindDoc="0" locked="0" layoutInCell="1" allowOverlap="0" wp14:anchorId="32C4096F" wp14:editId="25AAC702">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2"/>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3360" behindDoc="0" locked="0" layoutInCell="1" allowOverlap="0" wp14:anchorId="23A16FD8" wp14:editId="034C7C53">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3"/>
                    <a:stretch>
                      <a:fillRect/>
                    </a:stretch>
                  </pic:blipFill>
                  <pic:spPr>
                    <a:xfrm>
                      <a:off x="0" y="0"/>
                      <a:ext cx="18274" cy="9136"/>
                    </a:xfrm>
                    <a:prstGeom prst="rect">
                      <a:avLst/>
                    </a:prstGeom>
                  </pic:spPr>
                </pic:pic>
              </a:graphicData>
            </a:graphic>
          </wp:anchor>
        </w:drawing>
      </w:r>
      <w:r w:rsidRPr="00EF70E1">
        <w:rPr>
          <w:rFonts w:ascii="Gambria" w:hAnsi="Gambria"/>
          <w:sz w:val="22"/>
          <w:szCs w:val="22"/>
        </w:rPr>
        <w:drawing>
          <wp:anchor distT="0" distB="0" distL="114300" distR="114300" simplePos="0" relativeHeight="251664384" behindDoc="0" locked="0" layoutInCell="1" allowOverlap="0" wp14:anchorId="284A413D" wp14:editId="43B586C5">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4"/>
                    <a:stretch>
                      <a:fillRect/>
                    </a:stretch>
                  </pic:blipFill>
                  <pic:spPr>
                    <a:xfrm>
                      <a:off x="0" y="0"/>
                      <a:ext cx="18274" cy="4568"/>
                    </a:xfrm>
                    <a:prstGeom prst="rect">
                      <a:avLst/>
                    </a:prstGeom>
                  </pic:spPr>
                </pic:pic>
              </a:graphicData>
            </a:graphic>
          </wp:anchor>
        </w:drawing>
      </w:r>
      <w:r w:rsidRPr="00EF70E1">
        <w:rPr>
          <w:rFonts w:ascii="Gambria" w:hAnsi="Gambria"/>
          <w:sz w:val="22"/>
          <w:szCs w:val="22"/>
        </w:rPr>
        <w:t>atmosférickými zrážkami, ľadovcom, snehom alebo nečistotami vnikajúcimi otvormi, ktoré vznikli v dôsledku živelnej udalosti, a ak k vniknutiu došlo do 72 hodín po skončení živelnej udalosti,</w:t>
      </w:r>
    </w:p>
    <w:p w14:paraId="7F4F9C2A"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dymom, zadymením,</w:t>
      </w:r>
    </w:p>
    <w:p w14:paraId="2C26FEF4"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zvýšením hladiny podpovrchovej vody, ktoré bolo spôsobené povodňou alebo katastrofickým lejakom,</w:t>
      </w:r>
    </w:p>
    <w:p w14:paraId="6F0FAEA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ľadochodmi,</w:t>
      </w:r>
    </w:p>
    <w:p w14:paraId="47AD3376"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prívalom bahna,</w:t>
      </w:r>
    </w:p>
    <w:p w14:paraId="5A9BFF38"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spätným vystúpením vody z odpadových potrubí a kanalizácie v dôsledku zvýšenej hladiny spodnej vody, atmosférických zrážok, záplavy, povodne, katastrofickým lejakom alebo nahromadených zrážkových vôd,</w:t>
      </w:r>
    </w:p>
    <w:p w14:paraId="2D9B00E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ťarchou snehu a námrazy,</w:t>
      </w:r>
    </w:p>
    <w:p w14:paraId="2E7D830B"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 xml:space="preserve">nárazom dopravného prostriedku, aerodynamickým treskom, </w:t>
      </w:r>
      <w:r>
        <w:rPr>
          <w:rFonts w:ascii="Gambria" w:hAnsi="Gambria"/>
          <w:sz w:val="22"/>
          <w:szCs w:val="22"/>
        </w:rPr>
        <w:t>ná</w:t>
      </w:r>
      <w:r w:rsidRPr="00EF70E1">
        <w:rPr>
          <w:rFonts w:ascii="Gambria" w:hAnsi="Gambria"/>
          <w:sz w:val="22"/>
          <w:szCs w:val="22"/>
        </w:rPr>
        <w:t>r</w:t>
      </w:r>
      <w:r>
        <w:rPr>
          <w:rFonts w:ascii="Gambria" w:hAnsi="Gambria"/>
          <w:sz w:val="22"/>
          <w:szCs w:val="22"/>
        </w:rPr>
        <w:t>a</w:t>
      </w:r>
      <w:r w:rsidRPr="00EF70E1">
        <w:rPr>
          <w:rFonts w:ascii="Gambria" w:hAnsi="Gambria"/>
          <w:sz w:val="22"/>
          <w:szCs w:val="22"/>
        </w:rPr>
        <w:t>zovou vlnou,</w:t>
      </w:r>
    </w:p>
    <w:p w14:paraId="20190587"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krádežou poistených hnuteľných vecí, ku ktorej došlo v priamej súvislosti s rizikami uvedenými v bode 1.1. tohto článku,</w:t>
      </w:r>
    </w:p>
    <w:p w14:paraId="7AF5DF4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teroristickým činom, sabotážou – vzťahuje sa na objekt NBS Imricha Karvaša 1, 813 25 Bratislava.</w:t>
      </w:r>
    </w:p>
    <w:p w14:paraId="4583EC27" w14:textId="77777777" w:rsidR="00A1602B" w:rsidRPr="00EF70E1" w:rsidRDefault="00A1602B" w:rsidP="00A1602B">
      <w:pPr>
        <w:spacing w:line="259" w:lineRule="auto"/>
        <w:ind w:left="567" w:right="21" w:hanging="567"/>
        <w:rPr>
          <w:rFonts w:ascii="Gambria" w:hAnsi="Gambria"/>
          <w:sz w:val="22"/>
          <w:szCs w:val="22"/>
        </w:rPr>
      </w:pPr>
    </w:p>
    <w:p w14:paraId="71077F17" w14:textId="77777777" w:rsidR="00A1602B" w:rsidRPr="00EF70E1" w:rsidRDefault="00A1602B" w:rsidP="00A1602B">
      <w:pPr>
        <w:pStyle w:val="ListParagraph"/>
        <w:widowControl/>
        <w:numPr>
          <w:ilvl w:val="1"/>
          <w:numId w:val="17"/>
        </w:numPr>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lastRenderedPageBreak/>
        <w:t>O</w:t>
      </w:r>
      <w:proofErr w:type="spellStart"/>
      <w:r w:rsidRPr="00EF70E1">
        <w:rPr>
          <w:rFonts w:ascii="Gambria" w:hAnsi="Gambria"/>
          <w:b/>
          <w:bCs/>
          <w:sz w:val="22"/>
          <w:szCs w:val="22"/>
          <w:lang w:val="x-none"/>
        </w:rPr>
        <w:t>sobitné</w:t>
      </w:r>
      <w:proofErr w:type="spellEnd"/>
      <w:r w:rsidRPr="00EF70E1">
        <w:rPr>
          <w:rFonts w:ascii="Gambria" w:hAnsi="Gambria"/>
          <w:b/>
          <w:bCs/>
          <w:sz w:val="22"/>
          <w:szCs w:val="22"/>
          <w:lang w:val="x-none"/>
        </w:rPr>
        <w:t xml:space="preserve"> dojednania</w:t>
      </w:r>
      <w:r w:rsidRPr="00EF70E1">
        <w:rPr>
          <w:rFonts w:ascii="Gambria" w:hAnsi="Gambria"/>
          <w:b/>
          <w:bCs/>
          <w:sz w:val="22"/>
          <w:szCs w:val="22"/>
        </w:rPr>
        <w:t xml:space="preserve"> – komplexné živelné riziko</w:t>
      </w:r>
    </w:p>
    <w:p w14:paraId="47A376E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Poistenie sa vzťahuje aj na úmyselné poškodenie alebo zničenie poistenej veci, ak úmyselné konanie smerovalo k poškodeniu alebo zničeniu poisteného majetku, proti osobe poisteného alebo proti osobe vlastníka poisteného majetku.</w:t>
      </w:r>
    </w:p>
    <w:p w14:paraId="6515B5AA"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spevnené plochy a úpravy územia, pozemné komunikácie, cesty a ich stavebné súčast</w:t>
      </w:r>
      <w:r>
        <w:rPr>
          <w:rFonts w:ascii="Gambria" w:hAnsi="Gambria"/>
          <w:sz w:val="22"/>
          <w:szCs w:val="22"/>
        </w:rPr>
        <w:t>i</w:t>
      </w:r>
      <w:r w:rsidRPr="00EF70E1">
        <w:rPr>
          <w:rFonts w:ascii="Gambria" w:hAnsi="Gambria"/>
          <w:sz w:val="22"/>
          <w:szCs w:val="22"/>
        </w:rPr>
        <w:t>, oplotenia, vodovody, kanalizácie, ČOV a iné vodohospodárske objekty, inžinierske siete, trafostanice a výmenníkové stanice tepla, ktoré sú majetkom poisteného.</w:t>
      </w:r>
    </w:p>
    <w:p w14:paraId="0CE71F9D"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na veci uložené na voľnom priestranstve a veci upevnené na vonkajšej strane budovy.</w:t>
      </w:r>
    </w:p>
    <w:p w14:paraId="19B4903F"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Dojednáva sa, že poistenie sa vzťahuje aj na rozostavané stavby, dokončené budovy a stavby, ktoré nie sú odovzdané do užívania a budovy a stavby počas doby ich rekonštrukcie, </w:t>
      </w:r>
    </w:p>
    <w:p w14:paraId="3F0E7BEE"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budovy, na ktorých prebiehajú stavebné úpravy vrátane vecí uložených v týchto budovách.</w:t>
      </w:r>
    </w:p>
    <w:p w14:paraId="29B53866" w14:textId="77777777" w:rsidR="00A1602B" w:rsidRPr="00B64B38"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Poistenie sa vzťahuje aj na škody spôsobené lokálnym turbulentným charakterom vetra, vírmi vertikálneho alebo horizontálneho smeru pripadne účinkami </w:t>
      </w:r>
      <w:proofErr w:type="spellStart"/>
      <w:r w:rsidRPr="00EF70E1">
        <w:rPr>
          <w:rFonts w:ascii="Gambria" w:hAnsi="Gambria"/>
          <w:sz w:val="22"/>
          <w:szCs w:val="22"/>
        </w:rPr>
        <w:t>malopriestorových</w:t>
      </w:r>
      <w:proofErr w:type="spellEnd"/>
      <w:r w:rsidRPr="00EF70E1">
        <w:rPr>
          <w:rFonts w:ascii="Gambria" w:hAnsi="Gambria"/>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284159DA" w14:textId="77777777" w:rsidR="00A1602B" w:rsidRPr="009272E3" w:rsidRDefault="00A1602B" w:rsidP="00A1602B">
      <w:pPr>
        <w:pStyle w:val="ListParagraph"/>
        <w:widowControl/>
        <w:autoSpaceDE/>
        <w:autoSpaceDN/>
        <w:adjustRightInd/>
        <w:spacing w:line="259" w:lineRule="auto"/>
        <w:ind w:left="567" w:firstLine="0"/>
        <w:rPr>
          <w:rFonts w:ascii="Gambria" w:hAnsi="Gambria"/>
          <w:bCs/>
          <w:sz w:val="22"/>
          <w:szCs w:val="22"/>
        </w:rPr>
      </w:pPr>
      <w:r>
        <w:rPr>
          <w:rFonts w:ascii="Gambria" w:hAnsi="Gambria"/>
          <w:sz w:val="22"/>
          <w:szCs w:val="22"/>
        </w:rPr>
        <w:t>Poškodením, vzniká poistenému právo, aby mu poistiteľ vyplatil primerane vynaložené náklady na jeho uvedenie do pôvodného stavu bezprostredne pred poistnou udalosťou.</w:t>
      </w:r>
    </w:p>
    <w:p w14:paraId="6E20CDE5"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Poistiteľ nahradí do sumy </w:t>
      </w:r>
      <w:r>
        <w:rPr>
          <w:rFonts w:ascii="Gambria" w:hAnsi="Gambria"/>
          <w:sz w:val="22"/>
          <w:szCs w:val="22"/>
        </w:rPr>
        <w:t>25</w:t>
      </w:r>
      <w:r w:rsidRPr="00EF70E1">
        <w:rPr>
          <w:rFonts w:ascii="Gambria" w:hAnsi="Gambria"/>
          <w:sz w:val="22"/>
          <w:szCs w:val="22"/>
        </w:rPr>
        <w:t xml:space="preserve">0.000,- EUR za jednu poistnú udalosť aj náklady nevyhnutné na stavebné úpravy a na demontáž a </w:t>
      </w:r>
      <w:proofErr w:type="spellStart"/>
      <w:r w:rsidRPr="00EF70E1">
        <w:rPr>
          <w:rFonts w:ascii="Gambria" w:hAnsi="Gambria"/>
          <w:sz w:val="22"/>
          <w:szCs w:val="22"/>
        </w:rPr>
        <w:t>remontáž</w:t>
      </w:r>
      <w:proofErr w:type="spellEnd"/>
      <w:r w:rsidRPr="00EF70E1">
        <w:rPr>
          <w:rFonts w:ascii="Gambria" w:hAnsi="Gambria"/>
          <w:sz w:val="22"/>
          <w:szCs w:val="22"/>
        </w:rPr>
        <w:t xml:space="preserve"> ostatných nepoškodených a poškodených  poistených veci, vykonané v súvislosti so </w:t>
      </w:r>
      <w:proofErr w:type="spellStart"/>
      <w:r w:rsidRPr="00EF70E1">
        <w:rPr>
          <w:rFonts w:ascii="Gambria" w:hAnsi="Gambria"/>
          <w:sz w:val="22"/>
          <w:szCs w:val="22"/>
        </w:rPr>
        <w:t>znovuobstaraním</w:t>
      </w:r>
      <w:proofErr w:type="spellEnd"/>
      <w:r w:rsidRPr="00EF70E1">
        <w:rPr>
          <w:rFonts w:ascii="Gambria" w:hAnsi="Gambria"/>
          <w:sz w:val="22"/>
          <w:szCs w:val="22"/>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poškodených vecí alebo náhradných dielov.</w:t>
      </w:r>
    </w:p>
    <w:p w14:paraId="7B87B1E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Pri živelnom poistení sú kryté aj následné škody. Za následné škody v živelnom poistení sa považujú škody na majetku, ktoré vznikli v súvislosti so živelnou</w:t>
      </w:r>
      <w:r>
        <w:rPr>
          <w:rFonts w:ascii="Gambria" w:hAnsi="Gambria"/>
          <w:sz w:val="22"/>
          <w:szCs w:val="22"/>
        </w:rPr>
        <w:t xml:space="preserve"> udalosťou</w:t>
      </w:r>
      <w:r w:rsidRPr="00EF70E1">
        <w:rPr>
          <w:rFonts w:ascii="Gambria" w:hAnsi="Gambria"/>
          <w:sz w:val="22"/>
          <w:szCs w:val="22"/>
        </w:rPr>
        <w:t xml:space="preserve"> napr. poškodenie alebo zničenie majetku pri prácach na zmiernenie škody a pod. Nejedná s</w:t>
      </w:r>
      <w:r>
        <w:rPr>
          <w:rFonts w:ascii="Gambria" w:hAnsi="Gambria"/>
          <w:sz w:val="22"/>
          <w:szCs w:val="22"/>
        </w:rPr>
        <w:t>a</w:t>
      </w:r>
      <w:r w:rsidRPr="00EF70E1">
        <w:rPr>
          <w:rFonts w:ascii="Gambria" w:hAnsi="Gambria"/>
          <w:sz w:val="22"/>
          <w:szCs w:val="22"/>
        </w:rPr>
        <w:t xml:space="preserve"> o priamu finančnú ujmu.</w:t>
      </w:r>
    </w:p>
    <w:p w14:paraId="1FC060A8"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Poistiteľ bude likvidovať poistné udalostí aj na základe rozpočtov vypracovaných na základe schválených cenníkov (schválené rozpočtové cenníky, ktoré používajú rozpočtové a projektové organizácie napr. CENKROS, CENEKON, ODIS). Ak poistený neuskutoční opravu poškodenej poistenej veci v zmysle predloženého rozpočtu, poistiteľ vyplatí poistné plnenie max. 80 % rozpočtovaných nákladov na opravu.</w:t>
      </w:r>
    </w:p>
    <w:p w14:paraId="3248C501"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pre prípad poškodenia veci vodou z vodovodného zariadenia zahŕňa aj škody vzniknuté vo vnútri budovy na privádzacom vodovodnom potrubí vrát</w:t>
      </w:r>
      <w:r>
        <w:rPr>
          <w:rFonts w:ascii="Gambria" w:hAnsi="Gambria"/>
          <w:sz w:val="22"/>
          <w:szCs w:val="22"/>
        </w:rPr>
        <w:t>a</w:t>
      </w:r>
      <w:r w:rsidRPr="00EF70E1">
        <w:rPr>
          <w:rFonts w:ascii="Gambria" w:hAnsi="Gambria"/>
          <w:sz w:val="22"/>
          <w:szCs w:val="22"/>
        </w:rPr>
        <w:t xml:space="preserve">ne zariadení pripojených na potrubie, odpadovom potrubí vrátane zariadení pripojených na potrubie, potrubí klimatizačných zariadení, potrubí </w:t>
      </w:r>
      <w:proofErr w:type="spellStart"/>
      <w:r w:rsidRPr="00EF70E1">
        <w:rPr>
          <w:rFonts w:ascii="Gambria" w:hAnsi="Gambria"/>
          <w:sz w:val="22"/>
          <w:szCs w:val="22"/>
        </w:rPr>
        <w:t>horúcovodného</w:t>
      </w:r>
      <w:proofErr w:type="spellEnd"/>
      <w:r w:rsidRPr="00EF70E1">
        <w:rPr>
          <w:rFonts w:ascii="Gambria" w:hAnsi="Gambria"/>
          <w:sz w:val="22"/>
          <w:szCs w:val="22"/>
        </w:rPr>
        <w:t xml:space="preserve"> alebo parného kúrenia, teplovodných čerpadiel, solárnych systémov, pokia</w:t>
      </w:r>
      <w:r>
        <w:rPr>
          <w:rFonts w:ascii="Gambria" w:hAnsi="Gambria"/>
          <w:sz w:val="22"/>
          <w:szCs w:val="22"/>
        </w:rPr>
        <w:t>ľ</w:t>
      </w:r>
      <w:r w:rsidRPr="00EF70E1">
        <w:rPr>
          <w:rFonts w:ascii="Gambria" w:hAnsi="Gambria"/>
          <w:sz w:val="22"/>
          <w:szCs w:val="22"/>
        </w:rPr>
        <w:t xml:space="preserve"> ku škode dôjde následkom prasknutia alebo zamrznutia potrubia.</w:t>
      </w:r>
    </w:p>
    <w:p w14:paraId="2CBA85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lastRenderedPageBreak/>
        <w:t>Poistiteľ v prípade vodovodnej škody poskytne poistné plnenie aj za uniknutú vodu do výšky 10.000,- EUR za jednu poistnú udalosť, max. však 20.000,- EUR za poistné obdobie.</w:t>
      </w:r>
    </w:p>
    <w:p w14:paraId="0A927E63"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31075A4E"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022040F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Záplavou sa pre účely tejto rámcovej dohody rozumie vytvorenie súvislej vodnej plochy, ktorá určitú dobu stoji alebo prúdi v mieste poistenia.</w:t>
      </w:r>
    </w:p>
    <w:p w14:paraId="2A6953BF"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5BE7E3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Povodňou sa pre účely tejto rámcovej dohody rozumie definícia povodne v zmysle §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17FCB47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škody spôsobené ľadochodmi sa považujú škody v dôsledku deštruktívneho pôsobenia pohybujúcich sa ľadových krýh, alebo ľadovej hmoty na poistenú vec.</w:t>
      </w:r>
    </w:p>
    <w:p w14:paraId="54A3DA5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ľadovec sa považuje jav, pri ktorom kúsky ľadu vytvorené v atmosfére dopadajú na poistenú vec.</w:t>
      </w:r>
    </w:p>
    <w:p w14:paraId="2CFC6D1D"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škody spôsobené prívalom bahna sa považujú škody v dôsledku deštruktívneho pôsobenia hmoty s konzistenciou veľmi hustej tekutiny pohybujúcej sa smerom nadol, na poistené veci. Vznik takéhoto prívalu (prúdu) bahna je náhly a je zapríčinený prírodnými vplyvmi.</w:t>
      </w:r>
    </w:p>
    <w:p w14:paraId="6AF2B0C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Pod pojmom katastrofický lejak sa rozumejú zrážky, ktoré sú klasifikované Hydrometeorologickým ústavom podľa </w:t>
      </w:r>
      <w:proofErr w:type="spellStart"/>
      <w:r w:rsidRPr="00EF70E1">
        <w:rPr>
          <w:rFonts w:ascii="Gambria" w:hAnsi="Gambria"/>
          <w:sz w:val="22"/>
          <w:szCs w:val="22"/>
        </w:rPr>
        <w:t>Wusova</w:t>
      </w:r>
      <w:proofErr w:type="spellEnd"/>
      <w:r w:rsidRPr="00EF70E1">
        <w:rPr>
          <w:rFonts w:ascii="Gambria" w:hAnsi="Gambria"/>
          <w:sz w:val="22"/>
          <w:szCs w:val="22"/>
        </w:rPr>
        <w:t xml:space="preserve"> ako katastrofický lejak.</w:t>
      </w:r>
    </w:p>
    <w:p w14:paraId="7B74817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zosuv sa okrem iného považuje aj prepadnutie stavby alebo jej časti, spôsobené geologickou trhlinou alebo geologickou dutinou.</w:t>
      </w:r>
    </w:p>
    <w:p w14:paraId="3F9744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Poistné sadzby pre výpočet poistného doplnené do príslušných tabuliek sú záväzné a nemenné po celú dobu poistenia. </w:t>
      </w:r>
    </w:p>
    <w:p w14:paraId="291DDC71"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eastAsiaTheme="minorHAnsi" w:hAnsi="Gambria"/>
          <w:sz w:val="22"/>
          <w:szCs w:val="22"/>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799E99D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Dojednáva sa, že pokiaľ umelecké dielo alebo umelecko-remeselné dielo, ktoré je stavebnou súčasťou poistenej budovy alebo poistenej inej stavby (ďalej len „dielo“) bolo v dôsledku poistnej udalosti:</w:t>
      </w:r>
    </w:p>
    <w:p w14:paraId="5480AF30" w14:textId="77777777" w:rsidR="00A1602B" w:rsidRPr="00EF70E1" w:rsidRDefault="00A1602B" w:rsidP="00A1602B">
      <w:pPr>
        <w:spacing w:line="259" w:lineRule="auto"/>
        <w:ind w:left="567" w:hanging="567"/>
        <w:rPr>
          <w:rFonts w:ascii="Gambria" w:hAnsi="Gambria"/>
          <w:sz w:val="22"/>
          <w:szCs w:val="22"/>
        </w:rPr>
      </w:pPr>
      <w:r>
        <w:rPr>
          <w:rFonts w:ascii="Gambria" w:hAnsi="Gambria"/>
          <w:sz w:val="22"/>
          <w:szCs w:val="22"/>
        </w:rPr>
        <w:t xml:space="preserve">a) </w:t>
      </w:r>
      <w:r>
        <w:rPr>
          <w:rFonts w:ascii="Gambria" w:hAnsi="Gambria"/>
          <w:sz w:val="22"/>
          <w:szCs w:val="22"/>
        </w:rPr>
        <w:tab/>
      </w:r>
      <w:r w:rsidRPr="00EF70E1">
        <w:rPr>
          <w:rFonts w:ascii="Gambria" w:hAnsi="Gambria"/>
          <w:sz w:val="22"/>
          <w:szCs w:val="22"/>
        </w:rPr>
        <w:t>poškodené, vzniká poistenému právo, aby mu poistiteľ vyplatil primerane vynaložené náklady na jeho uvedenie do pôvodného stavu bezprostredne pred poistnou udalosťou,</w:t>
      </w:r>
    </w:p>
    <w:p w14:paraId="67CD956F" w14:textId="77777777" w:rsidR="00A1602B" w:rsidRPr="00EF70E1" w:rsidRDefault="00A1602B" w:rsidP="00A1602B">
      <w:pPr>
        <w:spacing w:line="259" w:lineRule="auto"/>
        <w:ind w:left="567" w:hanging="567"/>
        <w:rPr>
          <w:rFonts w:ascii="Gambria" w:hAnsi="Gambria"/>
          <w:sz w:val="22"/>
          <w:szCs w:val="22"/>
        </w:rPr>
      </w:pPr>
      <w:r>
        <w:rPr>
          <w:rFonts w:ascii="Gambria" w:hAnsi="Gambria"/>
          <w:sz w:val="22"/>
          <w:szCs w:val="22"/>
        </w:rPr>
        <w:t xml:space="preserve">b) </w:t>
      </w:r>
      <w:r>
        <w:rPr>
          <w:rFonts w:ascii="Gambria" w:hAnsi="Gambria"/>
          <w:sz w:val="22"/>
          <w:szCs w:val="22"/>
        </w:rPr>
        <w:tab/>
      </w:r>
      <w:r w:rsidRPr="00EF70E1">
        <w:rPr>
          <w:rFonts w:ascii="Gambria" w:hAnsi="Gambria"/>
          <w:sz w:val="22"/>
          <w:szCs w:val="22"/>
        </w:rPr>
        <w:t>zničené, vzniká poistenému právo, aby mu poistiteľ vyplatil primerane vynaložené náklady na zhotovenie jeho umeleckej alebo umelecko-remeselnej kópie.</w:t>
      </w:r>
    </w:p>
    <w:p w14:paraId="54EAAAB9"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lastRenderedPageBreak/>
        <w:t xml:space="preserve">    </w:t>
      </w:r>
      <w:r>
        <w:rPr>
          <w:rFonts w:ascii="Gambria" w:hAnsi="Gambria"/>
          <w:sz w:val="22"/>
          <w:szCs w:val="22"/>
        </w:rPr>
        <w:tab/>
      </w:r>
      <w:r w:rsidRPr="00EF70E1">
        <w:rPr>
          <w:rFonts w:ascii="Gambria" w:hAnsi="Gambria"/>
          <w:sz w:val="22"/>
          <w:szCs w:val="22"/>
        </w:rPr>
        <w:t>Pokiaľ nie je možné dielo do pôvodného stavu uviesť alebo nie je možné kópiu diela zhotoviť, vzniká poistenému právo, aby mu poistiteľ vyplatil cenu diela zistenú znaleckým posudkom zníženú o cenu zbytkov diela, najviac však pre tieto diela dojednanou poistnou sumou alebo sumu limitu poistného plnenia</w:t>
      </w:r>
      <w:r>
        <w:rPr>
          <w:rFonts w:ascii="Gambria" w:hAnsi="Gambria"/>
          <w:sz w:val="22"/>
          <w:szCs w:val="22"/>
        </w:rPr>
        <w:t>.</w:t>
      </w:r>
    </w:p>
    <w:p w14:paraId="49A46E85"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poistenie sa vzťahuje aj na škody spôsobené únikom vody zo strešných žľabov a vnútorných alebo voľne vedúcich vonkajších zvodov.</w:t>
      </w:r>
    </w:p>
    <w:p w14:paraId="4430D30F"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poistiteľ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201DD220"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poistiteľ nebude vyžadovať inštaláciu spätných uzáverov, pokiaľ tieto neboli súčasťou projektu stavby.</w:t>
      </w:r>
    </w:p>
    <w:p w14:paraId="3312C9C7"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poistenie sa vzťahuje aj na poistený majetok, nachádzajúci sa/uložený  priamo na úrovni podlahy v priestoroch budovy, na alebo pod úrovňou prízemného podlažia.</w:t>
      </w:r>
    </w:p>
    <w:p w14:paraId="72D39AF3"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v rámci poistenia nehnuteľného majetku, poistenie sa vzťahuje aj na poškodenie alebo zničenie poistenej veci zvieratami a vtákmi. Poistiteľ v prípade škody na nehnuteľnosti spôsobenej zvieratami a vtákmi poskytne poistné plnenie s </w:t>
      </w:r>
      <w:r w:rsidRPr="00EF70E1">
        <w:rPr>
          <w:rFonts w:ascii="Gambria" w:hAnsi="Gambria"/>
          <w:sz w:val="22"/>
          <w:szCs w:val="22"/>
          <w:lang w:val="cs-CZ"/>
        </w:rPr>
        <w:t xml:space="preserve">ročným </w:t>
      </w:r>
      <w:r w:rsidRPr="00EF70E1">
        <w:rPr>
          <w:rFonts w:ascii="Gambria" w:hAnsi="Gambria"/>
          <w:sz w:val="22"/>
          <w:szCs w:val="22"/>
        </w:rPr>
        <w:t>limitom plnenia 30.000,- EUR.</w:t>
      </w:r>
    </w:p>
    <w:p w14:paraId="3AEC5D4E"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 xml:space="preserve">Pre </w:t>
      </w:r>
      <w:r w:rsidRPr="00EF70E1">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r w:rsidRPr="00EF70E1">
        <w:rPr>
          <w:rFonts w:ascii="Gambria" w:hAnsi="Gambria"/>
          <w:sz w:val="22"/>
          <w:szCs w:val="22"/>
        </w:rPr>
        <w:t xml:space="preserve">. </w:t>
      </w:r>
    </w:p>
    <w:p w14:paraId="18C44B16"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V prípade škody na zbierkových predmetoch, ktoré nemajú vystavené znalecké posudky bude pois</w:t>
      </w:r>
      <w:r>
        <w:rPr>
          <w:rFonts w:ascii="Gambria" w:hAnsi="Gambria" w:cs="Arial"/>
          <w:sz w:val="22"/>
          <w:szCs w:val="22"/>
        </w:rPr>
        <w:t>titeľ</w:t>
      </w:r>
      <w:r w:rsidRPr="00EF70E1">
        <w:rPr>
          <w:rFonts w:ascii="Gambria" w:hAnsi="Gambria" w:cs="Arial"/>
          <w:w w:val="99"/>
          <w:sz w:val="22"/>
          <w:szCs w:val="22"/>
        </w:rPr>
        <w:t xml:space="preserve"> </w:t>
      </w:r>
      <w:r w:rsidRPr="00EF70E1">
        <w:rPr>
          <w:rFonts w:ascii="Gambria" w:hAnsi="Gambria" w:cs="Arial"/>
          <w:sz w:val="22"/>
          <w:szCs w:val="22"/>
        </w:rPr>
        <w:t>postupovať nasledovným</w:t>
      </w:r>
      <w:r>
        <w:rPr>
          <w:rFonts w:ascii="Gambria" w:hAnsi="Gambria" w:cs="Arial"/>
          <w:sz w:val="22"/>
          <w:szCs w:val="22"/>
        </w:rPr>
        <w:t xml:space="preserve"> </w:t>
      </w:r>
      <w:r w:rsidRPr="00EF70E1">
        <w:rPr>
          <w:rFonts w:ascii="Gambria" w:hAnsi="Gambria" w:cs="Arial"/>
          <w:spacing w:val="-35"/>
          <w:sz w:val="22"/>
          <w:szCs w:val="22"/>
        </w:rPr>
        <w:t xml:space="preserve"> </w:t>
      </w:r>
      <w:r w:rsidRPr="00EF70E1">
        <w:rPr>
          <w:rFonts w:ascii="Gambria" w:hAnsi="Gambria" w:cs="Arial"/>
          <w:sz w:val="22"/>
          <w:szCs w:val="22"/>
        </w:rPr>
        <w:t>spôsobom:</w:t>
      </w:r>
      <w:r w:rsidRPr="00EF70E1">
        <w:rPr>
          <w:rFonts w:ascii="Gambria" w:hAnsi="Gambria"/>
          <w:sz w:val="22"/>
          <w:szCs w:val="22"/>
        </w:rPr>
        <w:t xml:space="preserve"> </w:t>
      </w:r>
      <w:r w:rsidRPr="00EF70E1">
        <w:rPr>
          <w:rFonts w:ascii="Gambria" w:hAnsi="Gambria" w:cs="Arial"/>
          <w:sz w:val="22"/>
          <w:szCs w:val="22"/>
        </w:rPr>
        <w:t>Komisia na tvorbu zbierok Národnej banky Slovenska – Múzea mincí a medailí, zložená z expertov na daný druh zbierkových predmetov stanoví predpokladanú</w:t>
      </w:r>
      <w:r w:rsidRPr="00EF70E1">
        <w:rPr>
          <w:rFonts w:ascii="Gambria" w:hAnsi="Gambria" w:cs="Arial"/>
          <w:spacing w:val="-1"/>
          <w:w w:val="99"/>
          <w:sz w:val="22"/>
          <w:szCs w:val="22"/>
        </w:rPr>
        <w:t xml:space="preserve"> </w:t>
      </w:r>
      <w:r w:rsidRPr="00EF70E1">
        <w:rPr>
          <w:rFonts w:ascii="Gambria" w:hAnsi="Gambria" w:cs="Arial"/>
          <w:sz w:val="22"/>
          <w:szCs w:val="22"/>
        </w:rPr>
        <w:t>hodnotu zničených, poškodených alebo odcudzených   predmetov poistenia. Pois</w:t>
      </w:r>
      <w:r>
        <w:rPr>
          <w:rFonts w:ascii="Gambria" w:hAnsi="Gambria" w:cs="Arial"/>
          <w:sz w:val="22"/>
          <w:szCs w:val="22"/>
        </w:rPr>
        <w:t>titeľ</w:t>
      </w:r>
      <w:r w:rsidRPr="00EF70E1">
        <w:rPr>
          <w:rFonts w:ascii="Gambria" w:hAnsi="Gambria" w:cs="Arial"/>
          <w:sz w:val="22"/>
          <w:szCs w:val="22"/>
        </w:rPr>
        <w:t xml:space="preserve">  na </w:t>
      </w:r>
      <w:r w:rsidRPr="00EF70E1">
        <w:rPr>
          <w:rFonts w:ascii="Gambria" w:hAnsi="Gambria" w:cs="Arial"/>
          <w:spacing w:val="14"/>
          <w:sz w:val="22"/>
          <w:szCs w:val="22"/>
        </w:rPr>
        <w:t xml:space="preserve"> </w:t>
      </w:r>
      <w:r w:rsidRPr="00EF70E1">
        <w:rPr>
          <w:rFonts w:ascii="Gambria" w:hAnsi="Gambria" w:cs="Arial"/>
          <w:sz w:val="22"/>
          <w:szCs w:val="22"/>
        </w:rPr>
        <w:t>základe</w:t>
      </w:r>
      <w:r w:rsidRPr="00EF70E1">
        <w:rPr>
          <w:rFonts w:ascii="Gambria" w:hAnsi="Gambria" w:cs="Arial"/>
          <w:spacing w:val="-1"/>
          <w:w w:val="99"/>
          <w:sz w:val="22"/>
          <w:szCs w:val="22"/>
        </w:rPr>
        <w:t xml:space="preserve"> </w:t>
      </w:r>
      <w:r w:rsidRPr="00EF70E1">
        <w:rPr>
          <w:rFonts w:ascii="Gambria" w:hAnsi="Gambria" w:cs="Arial"/>
          <w:sz w:val="22"/>
          <w:szCs w:val="22"/>
        </w:rPr>
        <w:t>ocenenia</w:t>
      </w:r>
      <w:r w:rsidRPr="00EF70E1">
        <w:rPr>
          <w:rFonts w:ascii="Gambria" w:hAnsi="Gambria" w:cs="Arial"/>
          <w:spacing w:val="-9"/>
          <w:sz w:val="22"/>
          <w:szCs w:val="22"/>
        </w:rPr>
        <w:t xml:space="preserve"> </w:t>
      </w:r>
      <w:r w:rsidRPr="00EF70E1">
        <w:rPr>
          <w:rFonts w:ascii="Gambria" w:hAnsi="Gambria" w:cs="Arial"/>
          <w:sz w:val="22"/>
          <w:szCs w:val="22"/>
        </w:rPr>
        <w:t>pristúpi</w:t>
      </w:r>
      <w:r w:rsidRPr="00EF70E1">
        <w:rPr>
          <w:rFonts w:ascii="Gambria" w:hAnsi="Gambria" w:cs="Arial"/>
          <w:spacing w:val="-8"/>
          <w:sz w:val="22"/>
          <w:szCs w:val="22"/>
        </w:rPr>
        <w:t xml:space="preserve"> </w:t>
      </w:r>
      <w:r w:rsidRPr="00EF70E1">
        <w:rPr>
          <w:rFonts w:ascii="Gambria" w:hAnsi="Gambria" w:cs="Arial"/>
          <w:sz w:val="22"/>
          <w:szCs w:val="22"/>
        </w:rPr>
        <w:t>v</w:t>
      </w:r>
      <w:r w:rsidRPr="00EF70E1">
        <w:rPr>
          <w:rFonts w:ascii="Gambria" w:hAnsi="Gambria" w:cs="Arial"/>
          <w:spacing w:val="-9"/>
          <w:sz w:val="22"/>
          <w:szCs w:val="22"/>
        </w:rPr>
        <w:t xml:space="preserve"> </w:t>
      </w:r>
      <w:r w:rsidRPr="00EF70E1">
        <w:rPr>
          <w:rFonts w:ascii="Gambria" w:hAnsi="Gambria" w:cs="Arial"/>
          <w:sz w:val="22"/>
          <w:szCs w:val="22"/>
        </w:rPr>
        <w:t>prípade</w:t>
      </w:r>
      <w:r w:rsidRPr="00EF70E1">
        <w:rPr>
          <w:rFonts w:ascii="Gambria" w:hAnsi="Gambria" w:cs="Arial"/>
          <w:spacing w:val="-8"/>
          <w:sz w:val="22"/>
          <w:szCs w:val="22"/>
        </w:rPr>
        <w:t xml:space="preserve"> </w:t>
      </w:r>
      <w:r w:rsidRPr="00EF70E1">
        <w:rPr>
          <w:rFonts w:ascii="Gambria" w:hAnsi="Gambria" w:cs="Arial"/>
          <w:sz w:val="22"/>
          <w:szCs w:val="22"/>
        </w:rPr>
        <w:t>nároku</w:t>
      </w:r>
      <w:r w:rsidRPr="00EF70E1">
        <w:rPr>
          <w:rFonts w:ascii="Gambria" w:hAnsi="Gambria" w:cs="Arial"/>
          <w:spacing w:val="-9"/>
          <w:sz w:val="22"/>
          <w:szCs w:val="22"/>
        </w:rPr>
        <w:t xml:space="preserve"> </w:t>
      </w:r>
      <w:r w:rsidRPr="00EF70E1">
        <w:rPr>
          <w:rFonts w:ascii="Gambria" w:hAnsi="Gambria" w:cs="Arial"/>
          <w:sz w:val="22"/>
          <w:szCs w:val="22"/>
        </w:rPr>
        <w:t>k</w:t>
      </w:r>
      <w:r w:rsidRPr="00EF70E1">
        <w:rPr>
          <w:rFonts w:ascii="Gambria" w:hAnsi="Gambria" w:cs="Arial"/>
          <w:spacing w:val="-9"/>
          <w:sz w:val="22"/>
          <w:szCs w:val="22"/>
        </w:rPr>
        <w:t xml:space="preserve"> </w:t>
      </w:r>
      <w:r w:rsidRPr="00EF70E1">
        <w:rPr>
          <w:rFonts w:ascii="Gambria" w:hAnsi="Gambria" w:cs="Arial"/>
          <w:sz w:val="22"/>
          <w:szCs w:val="22"/>
        </w:rPr>
        <w:t>poistnému</w:t>
      </w:r>
      <w:r w:rsidRPr="00EF70E1">
        <w:rPr>
          <w:rFonts w:ascii="Gambria" w:hAnsi="Gambria" w:cs="Arial"/>
          <w:spacing w:val="-8"/>
          <w:sz w:val="22"/>
          <w:szCs w:val="22"/>
        </w:rPr>
        <w:t xml:space="preserve"> </w:t>
      </w:r>
      <w:r w:rsidRPr="00EF70E1">
        <w:rPr>
          <w:rFonts w:ascii="Gambria" w:hAnsi="Gambria" w:cs="Arial"/>
          <w:sz w:val="22"/>
          <w:szCs w:val="22"/>
        </w:rPr>
        <w:t>plneniu</w:t>
      </w:r>
      <w:r w:rsidRPr="00EF70E1">
        <w:rPr>
          <w:rFonts w:ascii="Gambria" w:hAnsi="Gambria" w:cs="Arial"/>
          <w:spacing w:val="-9"/>
          <w:sz w:val="22"/>
          <w:szCs w:val="22"/>
        </w:rPr>
        <w:t xml:space="preserve"> </w:t>
      </w:r>
      <w:r w:rsidRPr="00EF70E1">
        <w:rPr>
          <w:rFonts w:ascii="Gambria" w:hAnsi="Gambria" w:cs="Arial"/>
          <w:sz w:val="22"/>
          <w:szCs w:val="22"/>
        </w:rPr>
        <w:t>vo</w:t>
      </w:r>
      <w:r w:rsidRPr="00EF70E1">
        <w:rPr>
          <w:rFonts w:ascii="Gambria" w:hAnsi="Gambria" w:cs="Arial"/>
          <w:spacing w:val="-9"/>
          <w:sz w:val="22"/>
          <w:szCs w:val="22"/>
        </w:rPr>
        <w:t xml:space="preserve"> </w:t>
      </w:r>
      <w:r w:rsidRPr="00EF70E1">
        <w:rPr>
          <w:rFonts w:ascii="Gambria" w:hAnsi="Gambria" w:cs="Arial"/>
          <w:sz w:val="22"/>
          <w:szCs w:val="22"/>
        </w:rPr>
        <w:t>výške</w:t>
      </w:r>
      <w:r w:rsidRPr="00EF70E1">
        <w:rPr>
          <w:rFonts w:ascii="Gambria" w:hAnsi="Gambria" w:cs="Arial"/>
          <w:spacing w:val="-9"/>
          <w:sz w:val="22"/>
          <w:szCs w:val="22"/>
        </w:rPr>
        <w:t xml:space="preserve"> </w:t>
      </w:r>
      <w:r w:rsidRPr="00EF70E1">
        <w:rPr>
          <w:rFonts w:ascii="Gambria" w:hAnsi="Gambria" w:cs="Arial"/>
          <w:sz w:val="22"/>
          <w:szCs w:val="22"/>
        </w:rPr>
        <w:t>stanoveného</w:t>
      </w:r>
      <w:r w:rsidRPr="00EF70E1">
        <w:rPr>
          <w:rFonts w:ascii="Gambria" w:hAnsi="Gambria" w:cs="Arial"/>
          <w:spacing w:val="-9"/>
          <w:sz w:val="22"/>
          <w:szCs w:val="22"/>
        </w:rPr>
        <w:t xml:space="preserve"> </w:t>
      </w:r>
      <w:r w:rsidRPr="00EF70E1">
        <w:rPr>
          <w:rFonts w:ascii="Gambria" w:hAnsi="Gambria" w:cs="Arial"/>
          <w:sz w:val="22"/>
          <w:szCs w:val="22"/>
        </w:rPr>
        <w:t>ocenenia. Členov komisie na tvorbu zbierok na návrh riaditeľa múzea menuje výkonný riaditeľ príslušného úseku NBS.</w:t>
      </w:r>
    </w:p>
    <w:p w14:paraId="3D8144FD"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 xml:space="preserve">Dojednáva sa, že poistením sú kryté aj cudzie zbierkové predmety a predmety,  ktoré budú </w:t>
      </w:r>
      <w:r w:rsidRPr="00EF70E1">
        <w:rPr>
          <w:rFonts w:ascii="Gambria" w:hAnsi="Gambria" w:cs="Arial"/>
          <w:spacing w:val="17"/>
          <w:sz w:val="22"/>
          <w:szCs w:val="22"/>
        </w:rPr>
        <w:t xml:space="preserve"> </w:t>
      </w:r>
      <w:r w:rsidRPr="00EF70E1">
        <w:rPr>
          <w:rFonts w:ascii="Gambria" w:hAnsi="Gambria" w:cs="Arial"/>
          <w:sz w:val="22"/>
          <w:szCs w:val="22"/>
        </w:rPr>
        <w:t>poistenému</w:t>
      </w:r>
      <w:r w:rsidRPr="00EF70E1">
        <w:rPr>
          <w:rFonts w:ascii="Gambria" w:hAnsi="Gambria" w:cs="Arial"/>
          <w:spacing w:val="-1"/>
          <w:w w:val="99"/>
          <w:sz w:val="22"/>
          <w:szCs w:val="22"/>
        </w:rPr>
        <w:t xml:space="preserve"> </w:t>
      </w:r>
      <w:r w:rsidRPr="00EF70E1">
        <w:rPr>
          <w:rFonts w:ascii="Gambria" w:hAnsi="Gambria" w:cs="Arial"/>
          <w:sz w:val="22"/>
          <w:szCs w:val="22"/>
        </w:rPr>
        <w:t xml:space="preserve">zapožičané na základe písomnej </w:t>
      </w:r>
      <w:r w:rsidRPr="00EF70E1">
        <w:rPr>
          <w:rFonts w:ascii="Gambria" w:hAnsi="Gambria" w:cs="Arial"/>
          <w:spacing w:val="-32"/>
          <w:sz w:val="22"/>
          <w:szCs w:val="22"/>
        </w:rPr>
        <w:t xml:space="preserve"> </w:t>
      </w:r>
      <w:r w:rsidRPr="00EF70E1">
        <w:rPr>
          <w:rFonts w:ascii="Gambria" w:hAnsi="Gambria" w:cs="Arial"/>
          <w:sz w:val="22"/>
          <w:szCs w:val="22"/>
        </w:rPr>
        <w:t>zmluvy.</w:t>
      </w:r>
    </w:p>
    <w:p w14:paraId="23406804"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Odborná</w:t>
      </w:r>
      <w:r w:rsidRPr="00EF70E1">
        <w:rPr>
          <w:rFonts w:ascii="Gambria" w:hAnsi="Gambria" w:cs="Arial"/>
          <w:spacing w:val="38"/>
          <w:sz w:val="22"/>
          <w:szCs w:val="22"/>
        </w:rPr>
        <w:t xml:space="preserve"> </w:t>
      </w:r>
      <w:r w:rsidRPr="00EF70E1">
        <w:rPr>
          <w:rFonts w:ascii="Gambria" w:hAnsi="Gambria" w:cs="Arial"/>
          <w:sz w:val="22"/>
          <w:szCs w:val="22"/>
        </w:rPr>
        <w:t>evidencia</w:t>
      </w:r>
      <w:r w:rsidRPr="00EF70E1">
        <w:rPr>
          <w:rFonts w:ascii="Gambria" w:hAnsi="Gambria" w:cs="Arial"/>
          <w:spacing w:val="38"/>
          <w:sz w:val="22"/>
          <w:szCs w:val="22"/>
        </w:rPr>
        <w:t xml:space="preserve"> </w:t>
      </w:r>
      <w:r w:rsidRPr="00EF70E1">
        <w:rPr>
          <w:rFonts w:ascii="Gambria" w:hAnsi="Gambria" w:cs="Arial"/>
          <w:sz w:val="22"/>
          <w:szCs w:val="22"/>
        </w:rPr>
        <w:t>zbierkových</w:t>
      </w:r>
      <w:r w:rsidRPr="00EF70E1">
        <w:rPr>
          <w:rFonts w:ascii="Gambria" w:hAnsi="Gambria" w:cs="Arial"/>
          <w:spacing w:val="38"/>
          <w:sz w:val="22"/>
          <w:szCs w:val="22"/>
        </w:rPr>
        <w:t xml:space="preserve"> </w:t>
      </w:r>
      <w:r w:rsidRPr="00EF70E1">
        <w:rPr>
          <w:rFonts w:ascii="Gambria" w:hAnsi="Gambria" w:cs="Arial"/>
          <w:sz w:val="22"/>
          <w:szCs w:val="22"/>
        </w:rPr>
        <w:t>predmetov</w:t>
      </w:r>
      <w:r w:rsidRPr="00EF70E1">
        <w:rPr>
          <w:rFonts w:ascii="Gambria" w:hAnsi="Gambria" w:cs="Arial"/>
          <w:spacing w:val="38"/>
          <w:sz w:val="22"/>
          <w:szCs w:val="22"/>
        </w:rPr>
        <w:t xml:space="preserve"> </w:t>
      </w:r>
      <w:r w:rsidRPr="00EF70E1">
        <w:rPr>
          <w:rFonts w:ascii="Gambria" w:hAnsi="Gambria" w:cs="Arial"/>
          <w:sz w:val="22"/>
          <w:szCs w:val="22"/>
        </w:rPr>
        <w:t>sa</w:t>
      </w:r>
      <w:r w:rsidRPr="00EF70E1">
        <w:rPr>
          <w:rFonts w:ascii="Gambria" w:hAnsi="Gambria" w:cs="Arial"/>
          <w:spacing w:val="38"/>
          <w:sz w:val="22"/>
          <w:szCs w:val="22"/>
        </w:rPr>
        <w:t xml:space="preserve"> </w:t>
      </w:r>
      <w:r w:rsidRPr="00EF70E1">
        <w:rPr>
          <w:rFonts w:ascii="Gambria" w:hAnsi="Gambria" w:cs="Arial"/>
          <w:sz w:val="22"/>
          <w:szCs w:val="22"/>
        </w:rPr>
        <w:t>vedie</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spacing w:val="38"/>
          <w:sz w:val="22"/>
          <w:szCs w:val="22"/>
        </w:rPr>
        <w:t xml:space="preserve"> </w:t>
      </w:r>
      <w:r w:rsidRPr="00EF70E1">
        <w:rPr>
          <w:rFonts w:ascii="Gambria" w:hAnsi="Gambria" w:cs="Arial"/>
          <w:sz w:val="22"/>
          <w:szCs w:val="22"/>
        </w:rPr>
        <w:t>prírastkov</w:t>
      </w:r>
      <w:r w:rsidRPr="00EF70E1">
        <w:rPr>
          <w:rFonts w:ascii="Gambria" w:hAnsi="Gambria" w:cs="Arial"/>
          <w:spacing w:val="38"/>
          <w:sz w:val="22"/>
          <w:szCs w:val="22"/>
        </w:rPr>
        <w:t xml:space="preserve"> </w:t>
      </w:r>
      <w:r w:rsidRPr="00EF70E1">
        <w:rPr>
          <w:rFonts w:ascii="Gambria" w:hAnsi="Gambria" w:cs="Arial"/>
          <w:sz w:val="22"/>
          <w:szCs w:val="22"/>
        </w:rPr>
        <w:t>-</w:t>
      </w:r>
      <w:r w:rsidRPr="00EF70E1">
        <w:rPr>
          <w:rFonts w:ascii="Gambria" w:hAnsi="Gambria" w:cs="Arial"/>
          <w:spacing w:val="42"/>
          <w:sz w:val="22"/>
          <w:szCs w:val="22"/>
        </w:rPr>
        <w:t xml:space="preserve"> </w:t>
      </w:r>
      <w:r w:rsidRPr="00EF70E1">
        <w:rPr>
          <w:rFonts w:ascii="Gambria" w:hAnsi="Gambria" w:cs="Arial"/>
          <w:sz w:val="22"/>
          <w:szCs w:val="22"/>
        </w:rPr>
        <w:t>1.</w:t>
      </w:r>
      <w:r w:rsidRPr="00EF70E1">
        <w:rPr>
          <w:rFonts w:ascii="Gambria" w:hAnsi="Gambria" w:cs="Arial"/>
          <w:spacing w:val="39"/>
          <w:sz w:val="22"/>
          <w:szCs w:val="22"/>
        </w:rPr>
        <w:t xml:space="preserve"> </w:t>
      </w:r>
      <w:r w:rsidRPr="00EF70E1">
        <w:rPr>
          <w:rFonts w:ascii="Gambria" w:hAnsi="Gambria" w:cs="Arial"/>
          <w:sz w:val="22"/>
          <w:szCs w:val="22"/>
        </w:rPr>
        <w:t>stupeň.</w:t>
      </w:r>
      <w:r w:rsidRPr="00EF70E1">
        <w:rPr>
          <w:rFonts w:ascii="Gambria" w:hAnsi="Gambria" w:cs="Arial"/>
          <w:spacing w:val="39"/>
          <w:sz w:val="22"/>
          <w:szCs w:val="22"/>
        </w:rPr>
        <w:t xml:space="preserve"> </w:t>
      </w:r>
      <w:r w:rsidRPr="00EF70E1">
        <w:rPr>
          <w:rFonts w:ascii="Gambria" w:hAnsi="Gambria" w:cs="Arial"/>
          <w:sz w:val="22"/>
          <w:szCs w:val="22"/>
        </w:rPr>
        <w:t>Záznamy</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w w:val="99"/>
          <w:sz w:val="22"/>
          <w:szCs w:val="22"/>
        </w:rPr>
        <w:t xml:space="preserve"> </w:t>
      </w:r>
      <w:r w:rsidRPr="00EF70E1">
        <w:rPr>
          <w:rFonts w:ascii="Gambria" w:hAnsi="Gambria" w:cs="Arial"/>
          <w:sz w:val="22"/>
          <w:szCs w:val="22"/>
        </w:rPr>
        <w:t xml:space="preserve">prírastkov obsahujú tieto </w:t>
      </w:r>
      <w:r w:rsidRPr="00EF70E1">
        <w:rPr>
          <w:rFonts w:ascii="Gambria" w:hAnsi="Gambria" w:cs="Arial"/>
          <w:spacing w:val="-38"/>
          <w:sz w:val="22"/>
          <w:szCs w:val="22"/>
        </w:rPr>
        <w:t xml:space="preserve"> </w:t>
      </w:r>
      <w:r w:rsidRPr="00EF70E1">
        <w:rPr>
          <w:rFonts w:ascii="Gambria" w:hAnsi="Gambria" w:cs="Arial"/>
          <w:sz w:val="22"/>
          <w:szCs w:val="22"/>
        </w:rPr>
        <w:t>údaje:</w:t>
      </w:r>
    </w:p>
    <w:p w14:paraId="78E32D9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prírastkové</w:t>
      </w:r>
      <w:r w:rsidRPr="00EF70E1">
        <w:rPr>
          <w:rFonts w:ascii="Gambria" w:hAnsi="Gambria" w:cs="Arial"/>
          <w:spacing w:val="-18"/>
          <w:sz w:val="22"/>
          <w:szCs w:val="22"/>
        </w:rPr>
        <w:t xml:space="preserve"> </w:t>
      </w:r>
      <w:r w:rsidRPr="00EF70E1">
        <w:rPr>
          <w:rFonts w:ascii="Gambria" w:hAnsi="Gambria" w:cs="Arial"/>
          <w:sz w:val="22"/>
          <w:szCs w:val="22"/>
        </w:rPr>
        <w:t>číslo,</w:t>
      </w:r>
    </w:p>
    <w:p w14:paraId="3E587596"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evidenčné</w:t>
      </w:r>
      <w:r w:rsidRPr="00EF70E1">
        <w:rPr>
          <w:rFonts w:ascii="Gambria" w:hAnsi="Gambria" w:cs="Arial"/>
          <w:spacing w:val="-14"/>
          <w:sz w:val="22"/>
          <w:szCs w:val="22"/>
        </w:rPr>
        <w:t xml:space="preserve"> </w:t>
      </w:r>
      <w:r w:rsidRPr="00EF70E1">
        <w:rPr>
          <w:rFonts w:ascii="Gambria" w:hAnsi="Gambria" w:cs="Arial"/>
          <w:sz w:val="22"/>
          <w:szCs w:val="22"/>
        </w:rPr>
        <w:t>číslo,</w:t>
      </w:r>
    </w:p>
    <w:p w14:paraId="62A3C7D8"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názov</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stručný</w:t>
      </w:r>
      <w:r w:rsidRPr="00EF70E1">
        <w:rPr>
          <w:rFonts w:ascii="Gambria" w:hAnsi="Gambria" w:cs="Arial"/>
          <w:spacing w:val="-8"/>
          <w:sz w:val="22"/>
          <w:szCs w:val="22"/>
        </w:rPr>
        <w:t xml:space="preserve"> </w:t>
      </w:r>
      <w:r w:rsidRPr="00EF70E1">
        <w:rPr>
          <w:rFonts w:ascii="Gambria" w:hAnsi="Gambria" w:cs="Arial"/>
          <w:sz w:val="22"/>
          <w:szCs w:val="22"/>
        </w:rPr>
        <w:t>opis</w:t>
      </w:r>
      <w:r w:rsidRPr="00EF70E1">
        <w:rPr>
          <w:rFonts w:ascii="Gambria" w:hAnsi="Gambria" w:cs="Arial"/>
          <w:spacing w:val="-8"/>
          <w:sz w:val="22"/>
          <w:szCs w:val="22"/>
        </w:rPr>
        <w:t xml:space="preserve"> </w:t>
      </w:r>
      <w:r w:rsidRPr="00EF70E1">
        <w:rPr>
          <w:rFonts w:ascii="Gambria" w:hAnsi="Gambria" w:cs="Arial"/>
          <w:sz w:val="22"/>
          <w:szCs w:val="22"/>
        </w:rPr>
        <w:t>zb.</w:t>
      </w:r>
      <w:r w:rsidRPr="00EF70E1">
        <w:rPr>
          <w:rFonts w:ascii="Gambria" w:hAnsi="Gambria" w:cs="Arial"/>
          <w:spacing w:val="-8"/>
          <w:sz w:val="22"/>
          <w:szCs w:val="22"/>
        </w:rPr>
        <w:t xml:space="preserve"> </w:t>
      </w:r>
      <w:r w:rsidRPr="00EF70E1">
        <w:rPr>
          <w:rFonts w:ascii="Gambria" w:hAnsi="Gambria" w:cs="Arial"/>
          <w:sz w:val="22"/>
          <w:szCs w:val="22"/>
        </w:rPr>
        <w:t>predmetu,</w:t>
      </w:r>
    </w:p>
    <w:p w14:paraId="403686D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dátum vzniku, počet</w:t>
      </w:r>
      <w:r w:rsidRPr="00EF70E1">
        <w:rPr>
          <w:rFonts w:ascii="Gambria" w:hAnsi="Gambria" w:cs="Arial"/>
          <w:spacing w:val="-22"/>
          <w:sz w:val="22"/>
          <w:szCs w:val="22"/>
        </w:rPr>
        <w:t xml:space="preserve"> </w:t>
      </w:r>
      <w:r w:rsidRPr="00EF70E1">
        <w:rPr>
          <w:rFonts w:ascii="Gambria" w:hAnsi="Gambria" w:cs="Arial"/>
          <w:sz w:val="22"/>
          <w:szCs w:val="22"/>
        </w:rPr>
        <w:t>kusov,</w:t>
      </w:r>
    </w:p>
    <w:p w14:paraId="06DF594C"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miesto</w:t>
      </w:r>
      <w:r w:rsidRPr="00EF70E1">
        <w:rPr>
          <w:rFonts w:ascii="Gambria" w:hAnsi="Gambria" w:cs="Arial"/>
          <w:spacing w:val="-15"/>
          <w:sz w:val="22"/>
          <w:szCs w:val="22"/>
        </w:rPr>
        <w:t xml:space="preserve"> </w:t>
      </w:r>
      <w:r w:rsidRPr="00EF70E1">
        <w:rPr>
          <w:rFonts w:ascii="Gambria" w:hAnsi="Gambria" w:cs="Arial"/>
          <w:sz w:val="22"/>
          <w:szCs w:val="22"/>
        </w:rPr>
        <w:t>nálezu,</w:t>
      </w:r>
    </w:p>
    <w:p w14:paraId="417169C3"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dátum</w:t>
      </w:r>
      <w:r w:rsidRPr="00EF70E1">
        <w:rPr>
          <w:rFonts w:ascii="Gambria" w:hAnsi="Gambria" w:cs="Arial"/>
          <w:spacing w:val="-28"/>
          <w:sz w:val="22"/>
          <w:szCs w:val="22"/>
        </w:rPr>
        <w:t xml:space="preserve"> </w:t>
      </w:r>
      <w:r w:rsidRPr="00EF70E1">
        <w:rPr>
          <w:rFonts w:ascii="Gambria" w:hAnsi="Gambria" w:cs="Arial"/>
          <w:sz w:val="22"/>
          <w:szCs w:val="22"/>
        </w:rPr>
        <w:t>nadobudnutia,</w:t>
      </w:r>
    </w:p>
    <w:p w14:paraId="36F33DAD"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spôsob</w:t>
      </w:r>
      <w:r w:rsidRPr="00EF70E1">
        <w:rPr>
          <w:rFonts w:ascii="Gambria" w:hAnsi="Gambria" w:cs="Arial"/>
          <w:spacing w:val="-24"/>
          <w:sz w:val="22"/>
          <w:szCs w:val="22"/>
        </w:rPr>
        <w:t xml:space="preserve"> </w:t>
      </w:r>
      <w:r w:rsidRPr="00EF70E1">
        <w:rPr>
          <w:rFonts w:ascii="Gambria" w:hAnsi="Gambria" w:cs="Arial"/>
          <w:sz w:val="22"/>
          <w:szCs w:val="22"/>
        </w:rPr>
        <w:t>nadobudnutia,</w:t>
      </w:r>
    </w:p>
    <w:p w14:paraId="2C91D58A"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názov</w:t>
      </w:r>
      <w:r w:rsidRPr="00EF70E1">
        <w:rPr>
          <w:rFonts w:ascii="Gambria" w:hAnsi="Gambria" w:cs="Arial"/>
          <w:spacing w:val="-9"/>
          <w:sz w:val="22"/>
          <w:szCs w:val="22"/>
        </w:rPr>
        <w:t xml:space="preserve"> </w:t>
      </w:r>
      <w:r w:rsidRPr="00EF70E1">
        <w:rPr>
          <w:rFonts w:ascii="Gambria" w:hAnsi="Gambria" w:cs="Arial"/>
          <w:sz w:val="22"/>
          <w:szCs w:val="22"/>
        </w:rPr>
        <w:t>a</w:t>
      </w:r>
      <w:r w:rsidRPr="00EF70E1">
        <w:rPr>
          <w:rFonts w:ascii="Gambria" w:hAnsi="Gambria" w:cs="Arial"/>
          <w:spacing w:val="-9"/>
          <w:sz w:val="22"/>
          <w:szCs w:val="22"/>
        </w:rPr>
        <w:t xml:space="preserve"> </w:t>
      </w:r>
      <w:r w:rsidRPr="00EF70E1">
        <w:rPr>
          <w:rFonts w:ascii="Gambria" w:hAnsi="Gambria" w:cs="Arial"/>
          <w:sz w:val="22"/>
          <w:szCs w:val="22"/>
        </w:rPr>
        <w:t>číslo</w:t>
      </w:r>
      <w:r w:rsidRPr="00EF70E1">
        <w:rPr>
          <w:rFonts w:ascii="Gambria" w:hAnsi="Gambria" w:cs="Arial"/>
          <w:spacing w:val="-9"/>
          <w:sz w:val="22"/>
          <w:szCs w:val="22"/>
        </w:rPr>
        <w:t xml:space="preserve"> </w:t>
      </w:r>
      <w:r w:rsidRPr="00EF70E1">
        <w:rPr>
          <w:rFonts w:ascii="Gambria" w:hAnsi="Gambria" w:cs="Arial"/>
          <w:sz w:val="22"/>
          <w:szCs w:val="22"/>
        </w:rPr>
        <w:t>dokladu</w:t>
      </w:r>
      <w:r w:rsidRPr="00EF70E1">
        <w:rPr>
          <w:rFonts w:ascii="Gambria" w:hAnsi="Gambria" w:cs="Arial"/>
          <w:spacing w:val="-9"/>
          <w:sz w:val="22"/>
          <w:szCs w:val="22"/>
        </w:rPr>
        <w:t xml:space="preserve"> </w:t>
      </w:r>
      <w:r w:rsidRPr="00EF70E1">
        <w:rPr>
          <w:rFonts w:ascii="Gambria" w:hAnsi="Gambria" w:cs="Arial"/>
          <w:sz w:val="22"/>
          <w:szCs w:val="22"/>
        </w:rPr>
        <w:t>o</w:t>
      </w:r>
      <w:r w:rsidRPr="00EF70E1">
        <w:rPr>
          <w:rFonts w:ascii="Gambria" w:hAnsi="Gambria" w:cs="Arial"/>
          <w:spacing w:val="-9"/>
          <w:sz w:val="22"/>
          <w:szCs w:val="22"/>
        </w:rPr>
        <w:t xml:space="preserve"> </w:t>
      </w:r>
      <w:r w:rsidRPr="00EF70E1">
        <w:rPr>
          <w:rFonts w:ascii="Gambria" w:hAnsi="Gambria" w:cs="Arial"/>
          <w:sz w:val="22"/>
          <w:szCs w:val="22"/>
        </w:rPr>
        <w:t>nadobudnutí,</w:t>
      </w:r>
    </w:p>
    <w:p w14:paraId="71B9D1BE"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identifikačné</w:t>
      </w:r>
      <w:r w:rsidRPr="00EF70E1">
        <w:rPr>
          <w:rFonts w:ascii="Gambria" w:hAnsi="Gambria" w:cs="Arial"/>
          <w:spacing w:val="-11"/>
          <w:sz w:val="22"/>
          <w:szCs w:val="22"/>
        </w:rPr>
        <w:t xml:space="preserve"> </w:t>
      </w:r>
      <w:r w:rsidRPr="00EF70E1">
        <w:rPr>
          <w:rFonts w:ascii="Gambria" w:hAnsi="Gambria" w:cs="Arial"/>
          <w:sz w:val="22"/>
          <w:szCs w:val="22"/>
        </w:rPr>
        <w:t>údaje</w:t>
      </w:r>
      <w:r w:rsidRPr="00EF70E1">
        <w:rPr>
          <w:rFonts w:ascii="Gambria" w:hAnsi="Gambria" w:cs="Arial"/>
          <w:spacing w:val="-11"/>
          <w:sz w:val="22"/>
          <w:szCs w:val="22"/>
        </w:rPr>
        <w:t xml:space="preserve"> </w:t>
      </w:r>
      <w:r w:rsidRPr="00EF70E1">
        <w:rPr>
          <w:rFonts w:ascii="Gambria" w:hAnsi="Gambria" w:cs="Arial"/>
          <w:sz w:val="22"/>
          <w:szCs w:val="22"/>
        </w:rPr>
        <w:t>o</w:t>
      </w:r>
      <w:r w:rsidRPr="00EF70E1">
        <w:rPr>
          <w:rFonts w:ascii="Gambria" w:hAnsi="Gambria" w:cs="Arial"/>
          <w:spacing w:val="-11"/>
          <w:sz w:val="22"/>
          <w:szCs w:val="22"/>
        </w:rPr>
        <w:t xml:space="preserve"> </w:t>
      </w:r>
      <w:r w:rsidRPr="00EF70E1">
        <w:rPr>
          <w:rFonts w:ascii="Gambria" w:hAnsi="Gambria" w:cs="Arial"/>
          <w:sz w:val="22"/>
          <w:szCs w:val="22"/>
        </w:rPr>
        <w:t>predchádzajúcom</w:t>
      </w:r>
      <w:r w:rsidRPr="00EF70E1">
        <w:rPr>
          <w:rFonts w:ascii="Gambria" w:hAnsi="Gambria" w:cs="Arial"/>
          <w:spacing w:val="-10"/>
          <w:sz w:val="22"/>
          <w:szCs w:val="22"/>
        </w:rPr>
        <w:t xml:space="preserve"> </w:t>
      </w:r>
      <w:r w:rsidRPr="00EF70E1">
        <w:rPr>
          <w:rFonts w:ascii="Gambria" w:hAnsi="Gambria" w:cs="Arial"/>
          <w:sz w:val="22"/>
          <w:szCs w:val="22"/>
        </w:rPr>
        <w:t>vlastníkovi</w:t>
      </w:r>
      <w:r w:rsidRPr="00EF70E1">
        <w:rPr>
          <w:rFonts w:ascii="Gambria" w:hAnsi="Gambria" w:cs="Arial"/>
          <w:spacing w:val="-11"/>
          <w:sz w:val="22"/>
          <w:szCs w:val="22"/>
        </w:rPr>
        <w:t xml:space="preserve"> </w:t>
      </w:r>
      <w:r w:rsidRPr="00EF70E1">
        <w:rPr>
          <w:rFonts w:ascii="Gambria" w:hAnsi="Gambria" w:cs="Arial"/>
          <w:sz w:val="22"/>
          <w:szCs w:val="22"/>
        </w:rPr>
        <w:t>alebo</w:t>
      </w:r>
      <w:r w:rsidRPr="00EF70E1">
        <w:rPr>
          <w:rFonts w:ascii="Gambria" w:hAnsi="Gambria" w:cs="Arial"/>
          <w:spacing w:val="-11"/>
          <w:sz w:val="22"/>
          <w:szCs w:val="22"/>
        </w:rPr>
        <w:t xml:space="preserve"> </w:t>
      </w:r>
      <w:r w:rsidRPr="00EF70E1">
        <w:rPr>
          <w:rFonts w:ascii="Gambria" w:hAnsi="Gambria" w:cs="Arial"/>
          <w:sz w:val="22"/>
          <w:szCs w:val="22"/>
        </w:rPr>
        <w:t>správcovi,</w:t>
      </w:r>
    </w:p>
    <w:p w14:paraId="00B05239"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45"/>
          <w:sz w:val="22"/>
          <w:szCs w:val="22"/>
        </w:rPr>
        <w:t xml:space="preserve"> </w:t>
      </w:r>
      <w:r w:rsidRPr="00EF70E1">
        <w:rPr>
          <w:rFonts w:ascii="Gambria" w:hAnsi="Gambria" w:cs="Arial"/>
          <w:sz w:val="22"/>
          <w:szCs w:val="22"/>
        </w:rPr>
        <w:t>a</w:t>
      </w:r>
      <w:r w:rsidRPr="00EF70E1">
        <w:rPr>
          <w:rFonts w:ascii="Gambria" w:hAnsi="Gambria" w:cs="Arial"/>
          <w:spacing w:val="45"/>
          <w:sz w:val="22"/>
          <w:szCs w:val="22"/>
        </w:rPr>
        <w:t xml:space="preserve"> </w:t>
      </w:r>
      <w:r w:rsidRPr="00EF70E1">
        <w:rPr>
          <w:rFonts w:ascii="Gambria" w:hAnsi="Gambria" w:cs="Arial"/>
          <w:sz w:val="22"/>
          <w:szCs w:val="22"/>
        </w:rPr>
        <w:t>priezvisko</w:t>
      </w:r>
      <w:r w:rsidRPr="00EF70E1">
        <w:rPr>
          <w:rFonts w:ascii="Gambria" w:hAnsi="Gambria" w:cs="Arial"/>
          <w:spacing w:val="45"/>
          <w:sz w:val="22"/>
          <w:szCs w:val="22"/>
        </w:rPr>
        <w:t xml:space="preserve"> </w:t>
      </w:r>
      <w:r w:rsidRPr="00EF70E1">
        <w:rPr>
          <w:rFonts w:ascii="Gambria" w:hAnsi="Gambria" w:cs="Arial"/>
          <w:sz w:val="22"/>
          <w:szCs w:val="22"/>
        </w:rPr>
        <w:t>odborného</w:t>
      </w:r>
      <w:r w:rsidRPr="00EF70E1">
        <w:rPr>
          <w:rFonts w:ascii="Gambria" w:hAnsi="Gambria" w:cs="Arial"/>
          <w:spacing w:val="45"/>
          <w:sz w:val="22"/>
          <w:szCs w:val="22"/>
        </w:rPr>
        <w:t xml:space="preserve"> </w:t>
      </w:r>
      <w:r w:rsidRPr="00EF70E1">
        <w:rPr>
          <w:rFonts w:ascii="Gambria" w:hAnsi="Gambria" w:cs="Arial"/>
          <w:sz w:val="22"/>
          <w:szCs w:val="22"/>
        </w:rPr>
        <w:t>zamestnanca,</w:t>
      </w:r>
      <w:r w:rsidRPr="00EF70E1">
        <w:rPr>
          <w:rFonts w:ascii="Gambria" w:hAnsi="Gambria" w:cs="Arial"/>
          <w:spacing w:val="45"/>
          <w:sz w:val="22"/>
          <w:szCs w:val="22"/>
        </w:rPr>
        <w:t xml:space="preserve"> </w:t>
      </w:r>
      <w:r w:rsidRPr="00EF70E1">
        <w:rPr>
          <w:rFonts w:ascii="Gambria" w:hAnsi="Gambria" w:cs="Arial"/>
          <w:sz w:val="22"/>
          <w:szCs w:val="22"/>
        </w:rPr>
        <w:t>ktorý</w:t>
      </w:r>
      <w:r w:rsidRPr="00EF70E1">
        <w:rPr>
          <w:rFonts w:ascii="Gambria" w:hAnsi="Gambria" w:cs="Arial"/>
          <w:spacing w:val="3"/>
          <w:sz w:val="22"/>
          <w:szCs w:val="22"/>
        </w:rPr>
        <w:t xml:space="preserve"> </w:t>
      </w:r>
      <w:r w:rsidRPr="00EF70E1">
        <w:rPr>
          <w:rFonts w:ascii="Gambria" w:hAnsi="Gambria" w:cs="Arial"/>
          <w:sz w:val="22"/>
          <w:szCs w:val="22"/>
        </w:rPr>
        <w:t>zbierkový</w:t>
      </w:r>
      <w:r w:rsidRPr="00EF70E1">
        <w:rPr>
          <w:rFonts w:ascii="Gambria" w:hAnsi="Gambria" w:cs="Arial"/>
          <w:spacing w:val="45"/>
          <w:sz w:val="22"/>
          <w:szCs w:val="22"/>
        </w:rPr>
        <w:t xml:space="preserve"> </w:t>
      </w:r>
      <w:r w:rsidRPr="00EF70E1">
        <w:rPr>
          <w:rFonts w:ascii="Gambria" w:hAnsi="Gambria" w:cs="Arial"/>
          <w:sz w:val="22"/>
          <w:szCs w:val="22"/>
        </w:rPr>
        <w:t>predmet</w:t>
      </w:r>
      <w:r w:rsidRPr="00EF70E1">
        <w:rPr>
          <w:rFonts w:ascii="Gambria" w:hAnsi="Gambria" w:cs="Arial"/>
          <w:spacing w:val="45"/>
          <w:sz w:val="22"/>
          <w:szCs w:val="22"/>
        </w:rPr>
        <w:t xml:space="preserve"> </w:t>
      </w:r>
      <w:r w:rsidRPr="00EF70E1">
        <w:rPr>
          <w:rFonts w:ascii="Gambria" w:hAnsi="Gambria" w:cs="Arial"/>
          <w:sz w:val="22"/>
          <w:szCs w:val="22"/>
        </w:rPr>
        <w:t>navrhol</w:t>
      </w:r>
      <w:r w:rsidRPr="00EF70E1">
        <w:rPr>
          <w:rFonts w:ascii="Gambria" w:hAnsi="Gambria" w:cs="Arial"/>
          <w:spacing w:val="45"/>
          <w:sz w:val="22"/>
          <w:szCs w:val="22"/>
        </w:rPr>
        <w:t xml:space="preserve"> </w:t>
      </w:r>
      <w:r w:rsidRPr="00EF70E1">
        <w:rPr>
          <w:rFonts w:ascii="Gambria" w:hAnsi="Gambria" w:cs="Arial"/>
          <w:sz w:val="22"/>
          <w:szCs w:val="22"/>
        </w:rPr>
        <w:t>na</w:t>
      </w:r>
      <w:r w:rsidRPr="00EF70E1">
        <w:rPr>
          <w:rFonts w:ascii="Gambria" w:hAnsi="Gambria" w:cs="Arial"/>
          <w:spacing w:val="45"/>
          <w:sz w:val="22"/>
          <w:szCs w:val="22"/>
        </w:rPr>
        <w:t xml:space="preserve"> </w:t>
      </w:r>
      <w:r w:rsidRPr="00EF70E1">
        <w:rPr>
          <w:rFonts w:ascii="Gambria" w:hAnsi="Gambria" w:cs="Arial"/>
          <w:sz w:val="22"/>
          <w:szCs w:val="22"/>
        </w:rPr>
        <w:t>nadobudnutie</w:t>
      </w:r>
      <w:r w:rsidRPr="00EF70E1">
        <w:rPr>
          <w:rFonts w:ascii="Gambria" w:hAnsi="Gambria" w:cs="Arial"/>
          <w:spacing w:val="45"/>
          <w:sz w:val="22"/>
          <w:szCs w:val="22"/>
        </w:rPr>
        <w:t xml:space="preserve"> </w:t>
      </w:r>
      <w:r w:rsidRPr="00EF70E1">
        <w:rPr>
          <w:rFonts w:ascii="Gambria" w:hAnsi="Gambria" w:cs="Arial"/>
          <w:sz w:val="22"/>
          <w:szCs w:val="22"/>
        </w:rPr>
        <w:t>alebo</w:t>
      </w:r>
      <w:r w:rsidRPr="00EF70E1">
        <w:rPr>
          <w:rFonts w:ascii="Gambria" w:hAnsi="Gambria" w:cs="Arial"/>
          <w:spacing w:val="46"/>
          <w:sz w:val="22"/>
          <w:szCs w:val="22"/>
        </w:rPr>
        <w:t xml:space="preserve"> </w:t>
      </w:r>
      <w:r w:rsidRPr="00EF70E1">
        <w:rPr>
          <w:rFonts w:ascii="Gambria" w:hAnsi="Gambria" w:cs="Arial"/>
          <w:sz w:val="22"/>
          <w:szCs w:val="22"/>
        </w:rPr>
        <w:t>ktor</w:t>
      </w:r>
      <w:r w:rsidRPr="00EF70E1">
        <w:rPr>
          <w:rFonts w:ascii="Gambria" w:hAnsi="Gambria" w:cs="Arial"/>
          <w:spacing w:val="-35"/>
          <w:sz w:val="22"/>
          <w:szCs w:val="22"/>
        </w:rPr>
        <w:t xml:space="preserve"> </w:t>
      </w:r>
      <w:r w:rsidRPr="00EF70E1">
        <w:rPr>
          <w:rFonts w:ascii="Gambria" w:hAnsi="Gambria" w:cs="Arial"/>
          <w:sz w:val="22"/>
          <w:szCs w:val="22"/>
        </w:rPr>
        <w:t>ý</w:t>
      </w:r>
      <w:r w:rsidRPr="00EF70E1">
        <w:rPr>
          <w:rFonts w:ascii="Gambria" w:hAnsi="Gambria" w:cs="Arial"/>
          <w:w w:val="99"/>
          <w:sz w:val="22"/>
          <w:szCs w:val="22"/>
        </w:rPr>
        <w:t xml:space="preserve"> </w:t>
      </w:r>
      <w:r w:rsidRPr="00EF70E1">
        <w:rPr>
          <w:rFonts w:ascii="Gambria" w:hAnsi="Gambria" w:cs="Arial"/>
          <w:sz w:val="22"/>
          <w:szCs w:val="22"/>
        </w:rPr>
        <w:t>zbierkový predmet získal</w:t>
      </w:r>
      <w:r w:rsidRPr="00EF70E1">
        <w:rPr>
          <w:rFonts w:ascii="Gambria" w:hAnsi="Gambria" w:cs="Arial"/>
          <w:spacing w:val="-24"/>
          <w:sz w:val="22"/>
          <w:szCs w:val="22"/>
        </w:rPr>
        <w:t xml:space="preserve"> </w:t>
      </w:r>
      <w:r w:rsidRPr="00EF70E1">
        <w:rPr>
          <w:rFonts w:ascii="Gambria" w:hAnsi="Gambria" w:cs="Arial"/>
          <w:sz w:val="22"/>
          <w:szCs w:val="22"/>
        </w:rPr>
        <w:t>výskumom,</w:t>
      </w:r>
    </w:p>
    <w:p w14:paraId="074F1347"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priezvisko</w:t>
      </w:r>
      <w:r w:rsidRPr="00EF70E1">
        <w:rPr>
          <w:rFonts w:ascii="Gambria" w:hAnsi="Gambria" w:cs="Arial"/>
          <w:spacing w:val="-7"/>
          <w:sz w:val="22"/>
          <w:szCs w:val="22"/>
        </w:rPr>
        <w:t xml:space="preserve"> </w:t>
      </w:r>
      <w:r w:rsidRPr="00EF70E1">
        <w:rPr>
          <w:rFonts w:ascii="Gambria" w:hAnsi="Gambria" w:cs="Arial"/>
          <w:sz w:val="22"/>
          <w:szCs w:val="22"/>
        </w:rPr>
        <w:t>odborného</w:t>
      </w:r>
      <w:r w:rsidRPr="00EF70E1">
        <w:rPr>
          <w:rFonts w:ascii="Gambria" w:hAnsi="Gambria" w:cs="Arial"/>
          <w:spacing w:val="-8"/>
          <w:sz w:val="22"/>
          <w:szCs w:val="22"/>
        </w:rPr>
        <w:t xml:space="preserve"> </w:t>
      </w:r>
      <w:r w:rsidRPr="00EF70E1">
        <w:rPr>
          <w:rFonts w:ascii="Gambria" w:hAnsi="Gambria" w:cs="Arial"/>
          <w:sz w:val="22"/>
          <w:szCs w:val="22"/>
        </w:rPr>
        <w:t>zamestnanca,</w:t>
      </w:r>
      <w:r w:rsidRPr="00EF70E1">
        <w:rPr>
          <w:rFonts w:ascii="Gambria" w:hAnsi="Gambria" w:cs="Arial"/>
          <w:spacing w:val="-8"/>
          <w:sz w:val="22"/>
          <w:szCs w:val="22"/>
        </w:rPr>
        <w:t xml:space="preserve"> </w:t>
      </w:r>
      <w:r w:rsidRPr="00EF70E1">
        <w:rPr>
          <w:rFonts w:ascii="Gambria" w:hAnsi="Gambria" w:cs="Arial"/>
          <w:sz w:val="22"/>
          <w:szCs w:val="22"/>
        </w:rPr>
        <w:t>ktorý</w:t>
      </w:r>
      <w:r w:rsidRPr="00EF70E1">
        <w:rPr>
          <w:rFonts w:ascii="Gambria" w:hAnsi="Gambria" w:cs="Arial"/>
          <w:spacing w:val="-8"/>
          <w:sz w:val="22"/>
          <w:szCs w:val="22"/>
        </w:rPr>
        <w:t xml:space="preserve"> </w:t>
      </w:r>
      <w:r w:rsidRPr="00EF70E1">
        <w:rPr>
          <w:rFonts w:ascii="Gambria" w:hAnsi="Gambria" w:cs="Arial"/>
          <w:sz w:val="22"/>
          <w:szCs w:val="22"/>
        </w:rPr>
        <w:t>zbierkový</w:t>
      </w:r>
      <w:r w:rsidRPr="00EF70E1">
        <w:rPr>
          <w:rFonts w:ascii="Gambria" w:hAnsi="Gambria" w:cs="Arial"/>
          <w:spacing w:val="-8"/>
          <w:sz w:val="22"/>
          <w:szCs w:val="22"/>
        </w:rPr>
        <w:t xml:space="preserve"> </w:t>
      </w:r>
      <w:r w:rsidRPr="00EF70E1">
        <w:rPr>
          <w:rFonts w:ascii="Gambria" w:hAnsi="Gambria" w:cs="Arial"/>
          <w:sz w:val="22"/>
          <w:szCs w:val="22"/>
        </w:rPr>
        <w:t>predmet</w:t>
      </w:r>
      <w:r w:rsidRPr="00EF70E1">
        <w:rPr>
          <w:rFonts w:ascii="Gambria" w:hAnsi="Gambria" w:cs="Arial"/>
          <w:spacing w:val="-7"/>
          <w:sz w:val="22"/>
          <w:szCs w:val="22"/>
        </w:rPr>
        <w:t xml:space="preserve"> </w:t>
      </w:r>
      <w:r w:rsidRPr="00EF70E1">
        <w:rPr>
          <w:rFonts w:ascii="Gambria" w:hAnsi="Gambria" w:cs="Arial"/>
          <w:sz w:val="22"/>
          <w:szCs w:val="22"/>
        </w:rPr>
        <w:t>prevzal</w:t>
      </w:r>
      <w:r w:rsidRPr="00EF70E1">
        <w:rPr>
          <w:rFonts w:ascii="Gambria" w:hAnsi="Gambria" w:cs="Arial"/>
          <w:spacing w:val="-8"/>
          <w:sz w:val="22"/>
          <w:szCs w:val="22"/>
        </w:rPr>
        <w:t xml:space="preserve"> </w:t>
      </w:r>
      <w:r w:rsidRPr="00EF70E1">
        <w:rPr>
          <w:rFonts w:ascii="Gambria" w:hAnsi="Gambria" w:cs="Arial"/>
          <w:sz w:val="22"/>
          <w:szCs w:val="22"/>
        </w:rPr>
        <w:t>do</w:t>
      </w:r>
      <w:r w:rsidRPr="00EF70E1">
        <w:rPr>
          <w:rFonts w:ascii="Gambria" w:hAnsi="Gambria" w:cs="Arial"/>
          <w:spacing w:val="-8"/>
          <w:sz w:val="22"/>
          <w:szCs w:val="22"/>
        </w:rPr>
        <w:t xml:space="preserve"> </w:t>
      </w:r>
      <w:r w:rsidRPr="00EF70E1">
        <w:rPr>
          <w:rFonts w:ascii="Gambria" w:hAnsi="Gambria" w:cs="Arial"/>
          <w:sz w:val="22"/>
          <w:szCs w:val="22"/>
        </w:rPr>
        <w:t>zbierky,</w:t>
      </w:r>
    </w:p>
    <w:p w14:paraId="7FA3319A"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33"/>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priezvisko</w:t>
      </w:r>
      <w:r w:rsidRPr="00EF70E1">
        <w:rPr>
          <w:rFonts w:ascii="Gambria" w:hAnsi="Gambria" w:cs="Arial"/>
          <w:spacing w:val="34"/>
          <w:sz w:val="22"/>
          <w:szCs w:val="22"/>
        </w:rPr>
        <w:t xml:space="preserve"> </w:t>
      </w:r>
      <w:r w:rsidRPr="00EF70E1">
        <w:rPr>
          <w:rFonts w:ascii="Gambria" w:hAnsi="Gambria" w:cs="Arial"/>
          <w:sz w:val="22"/>
          <w:szCs w:val="22"/>
        </w:rPr>
        <w:t>odborného</w:t>
      </w:r>
      <w:r w:rsidRPr="00EF70E1">
        <w:rPr>
          <w:rFonts w:ascii="Gambria" w:hAnsi="Gambria" w:cs="Arial"/>
          <w:spacing w:val="34"/>
          <w:sz w:val="22"/>
          <w:szCs w:val="22"/>
        </w:rPr>
        <w:t xml:space="preserve"> </w:t>
      </w:r>
      <w:r w:rsidRPr="00EF70E1">
        <w:rPr>
          <w:rFonts w:ascii="Gambria" w:hAnsi="Gambria" w:cs="Arial"/>
          <w:sz w:val="22"/>
          <w:szCs w:val="22"/>
        </w:rPr>
        <w:t>zamestnanca,</w:t>
      </w:r>
      <w:r w:rsidRPr="00EF70E1">
        <w:rPr>
          <w:rFonts w:ascii="Gambria" w:hAnsi="Gambria" w:cs="Arial"/>
          <w:spacing w:val="34"/>
          <w:sz w:val="22"/>
          <w:szCs w:val="22"/>
        </w:rPr>
        <w:t xml:space="preserve"> </w:t>
      </w:r>
      <w:r w:rsidRPr="00EF70E1">
        <w:rPr>
          <w:rFonts w:ascii="Gambria" w:hAnsi="Gambria" w:cs="Arial"/>
          <w:sz w:val="22"/>
          <w:szCs w:val="22"/>
        </w:rPr>
        <w:t>ktorý</w:t>
      </w:r>
      <w:r w:rsidRPr="00EF70E1">
        <w:rPr>
          <w:rFonts w:ascii="Gambria" w:hAnsi="Gambria" w:cs="Arial"/>
          <w:spacing w:val="43"/>
          <w:sz w:val="22"/>
          <w:szCs w:val="22"/>
        </w:rPr>
        <w:t xml:space="preserve"> </w:t>
      </w:r>
      <w:r w:rsidRPr="00EF70E1">
        <w:rPr>
          <w:rFonts w:ascii="Gambria" w:hAnsi="Gambria" w:cs="Arial"/>
          <w:sz w:val="22"/>
          <w:szCs w:val="22"/>
        </w:rPr>
        <w:t>zbierkový</w:t>
      </w:r>
      <w:r w:rsidRPr="00EF70E1">
        <w:rPr>
          <w:rFonts w:ascii="Gambria" w:hAnsi="Gambria" w:cs="Arial"/>
          <w:spacing w:val="34"/>
          <w:sz w:val="22"/>
          <w:szCs w:val="22"/>
        </w:rPr>
        <w:t xml:space="preserve"> </w:t>
      </w:r>
      <w:r w:rsidRPr="00EF70E1">
        <w:rPr>
          <w:rFonts w:ascii="Gambria" w:hAnsi="Gambria" w:cs="Arial"/>
          <w:sz w:val="22"/>
          <w:szCs w:val="22"/>
        </w:rPr>
        <w:t>predmet</w:t>
      </w:r>
      <w:r w:rsidRPr="00EF70E1">
        <w:rPr>
          <w:rFonts w:ascii="Gambria" w:hAnsi="Gambria" w:cs="Arial"/>
          <w:spacing w:val="34"/>
          <w:sz w:val="22"/>
          <w:szCs w:val="22"/>
        </w:rPr>
        <w:t xml:space="preserve"> </w:t>
      </w:r>
      <w:r w:rsidRPr="00EF70E1">
        <w:rPr>
          <w:rFonts w:ascii="Gambria" w:hAnsi="Gambria" w:cs="Arial"/>
          <w:sz w:val="22"/>
          <w:szCs w:val="22"/>
        </w:rPr>
        <w:t>prevzal</w:t>
      </w:r>
      <w:r w:rsidRPr="00EF70E1">
        <w:rPr>
          <w:rFonts w:ascii="Gambria" w:hAnsi="Gambria" w:cs="Arial"/>
          <w:spacing w:val="34"/>
          <w:sz w:val="22"/>
          <w:szCs w:val="22"/>
        </w:rPr>
        <w:t xml:space="preserve"> </w:t>
      </w:r>
      <w:r w:rsidRPr="00EF70E1">
        <w:rPr>
          <w:rFonts w:ascii="Gambria" w:hAnsi="Gambria" w:cs="Arial"/>
          <w:sz w:val="22"/>
          <w:szCs w:val="22"/>
        </w:rPr>
        <w:t>do</w:t>
      </w:r>
      <w:r w:rsidRPr="00EF70E1">
        <w:rPr>
          <w:rFonts w:ascii="Gambria" w:hAnsi="Gambria" w:cs="Arial"/>
          <w:spacing w:val="34"/>
          <w:sz w:val="22"/>
          <w:szCs w:val="22"/>
        </w:rPr>
        <w:t xml:space="preserve"> </w:t>
      </w:r>
      <w:r w:rsidRPr="00EF70E1">
        <w:rPr>
          <w:rFonts w:ascii="Gambria" w:hAnsi="Gambria" w:cs="Arial"/>
          <w:sz w:val="22"/>
          <w:szCs w:val="22"/>
        </w:rPr>
        <w:t>depozitára</w:t>
      </w:r>
      <w:r w:rsidRPr="00EF70E1">
        <w:rPr>
          <w:rFonts w:ascii="Gambria" w:hAnsi="Gambria" w:cs="Arial"/>
          <w:spacing w:val="34"/>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dátum</w:t>
      </w:r>
      <w:r w:rsidRPr="00EF70E1">
        <w:rPr>
          <w:rFonts w:ascii="Gambria" w:hAnsi="Gambria" w:cs="Arial"/>
          <w:spacing w:val="-1"/>
          <w:w w:val="99"/>
          <w:sz w:val="22"/>
          <w:szCs w:val="22"/>
        </w:rPr>
        <w:t xml:space="preserve"> </w:t>
      </w:r>
      <w:r w:rsidRPr="00EF70E1">
        <w:rPr>
          <w:rFonts w:ascii="Gambria" w:hAnsi="Gambria" w:cs="Arial"/>
          <w:sz w:val="22"/>
          <w:szCs w:val="22"/>
        </w:rPr>
        <w:t>prevzatia,</w:t>
      </w:r>
    </w:p>
    <w:p w14:paraId="32B2F019"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 a priezvisko odborného zamestnanca, ktorý je aktuálne zodpovedný za trvalé odborné</w:t>
      </w:r>
      <w:r w:rsidRPr="00EF70E1">
        <w:rPr>
          <w:rFonts w:ascii="Gambria" w:hAnsi="Gambria" w:cs="Arial"/>
          <w:spacing w:val="20"/>
          <w:sz w:val="22"/>
          <w:szCs w:val="22"/>
        </w:rPr>
        <w:t xml:space="preserve"> </w:t>
      </w:r>
      <w:r w:rsidRPr="00EF70E1">
        <w:rPr>
          <w:rFonts w:ascii="Gambria" w:hAnsi="Gambria" w:cs="Arial"/>
          <w:sz w:val="22"/>
          <w:szCs w:val="22"/>
        </w:rPr>
        <w:t>uloženie</w:t>
      </w:r>
      <w:r w:rsidRPr="00EF70E1">
        <w:rPr>
          <w:rFonts w:ascii="Gambria" w:hAnsi="Gambria" w:cs="Arial"/>
          <w:spacing w:val="-1"/>
          <w:w w:val="99"/>
          <w:sz w:val="22"/>
          <w:szCs w:val="22"/>
        </w:rPr>
        <w:t xml:space="preserve"> </w:t>
      </w:r>
      <w:r w:rsidRPr="00EF70E1">
        <w:rPr>
          <w:rFonts w:ascii="Gambria" w:hAnsi="Gambria" w:cs="Arial"/>
          <w:sz w:val="22"/>
          <w:szCs w:val="22"/>
        </w:rPr>
        <w:t>zbierkového predmetu v</w:t>
      </w:r>
      <w:r w:rsidRPr="00EF70E1">
        <w:rPr>
          <w:rFonts w:ascii="Gambria" w:hAnsi="Gambria" w:cs="Arial"/>
          <w:spacing w:val="-35"/>
          <w:sz w:val="22"/>
          <w:szCs w:val="22"/>
        </w:rPr>
        <w:t xml:space="preserve"> </w:t>
      </w:r>
      <w:r>
        <w:rPr>
          <w:rFonts w:ascii="Gambria" w:hAnsi="Gambria" w:cs="Arial"/>
          <w:spacing w:val="-35"/>
          <w:sz w:val="22"/>
          <w:szCs w:val="22"/>
        </w:rPr>
        <w:t xml:space="preserve">      </w:t>
      </w:r>
      <w:r w:rsidRPr="00EF70E1">
        <w:rPr>
          <w:rFonts w:ascii="Gambria" w:hAnsi="Gambria" w:cs="Arial"/>
          <w:sz w:val="22"/>
          <w:szCs w:val="22"/>
        </w:rPr>
        <w:t>depozitári,</w:t>
      </w:r>
    </w:p>
    <w:p w14:paraId="15B1B6CB"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lastRenderedPageBreak/>
        <w:t>miesto trvalého</w:t>
      </w:r>
      <w:r w:rsidRPr="00EF70E1">
        <w:rPr>
          <w:rFonts w:ascii="Gambria" w:hAnsi="Gambria" w:cs="Arial"/>
          <w:spacing w:val="-27"/>
          <w:sz w:val="22"/>
          <w:szCs w:val="22"/>
        </w:rPr>
        <w:t xml:space="preserve"> </w:t>
      </w:r>
      <w:r w:rsidRPr="00EF70E1">
        <w:rPr>
          <w:rFonts w:ascii="Gambria" w:hAnsi="Gambria" w:cs="Arial"/>
          <w:sz w:val="22"/>
          <w:szCs w:val="22"/>
        </w:rPr>
        <w:t>umiestnenia,</w:t>
      </w:r>
    </w:p>
    <w:p w14:paraId="5DBE36B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sz w:val="22"/>
          <w:szCs w:val="22"/>
        </w:rPr>
        <w:t>záznam</w:t>
      </w:r>
      <w:r w:rsidRPr="00EF70E1">
        <w:rPr>
          <w:rFonts w:ascii="Gambria" w:hAnsi="Gambria"/>
          <w:spacing w:val="-9"/>
          <w:sz w:val="22"/>
          <w:szCs w:val="22"/>
        </w:rPr>
        <w:t xml:space="preserve"> </w:t>
      </w:r>
      <w:r w:rsidRPr="00EF70E1">
        <w:rPr>
          <w:rFonts w:ascii="Gambria" w:hAnsi="Gambria"/>
          <w:sz w:val="22"/>
          <w:szCs w:val="22"/>
        </w:rPr>
        <w:t>o</w:t>
      </w:r>
      <w:r w:rsidRPr="00EF70E1">
        <w:rPr>
          <w:rFonts w:ascii="Gambria" w:hAnsi="Gambria"/>
          <w:spacing w:val="-9"/>
          <w:sz w:val="22"/>
          <w:szCs w:val="22"/>
        </w:rPr>
        <w:t xml:space="preserve"> </w:t>
      </w:r>
      <w:r w:rsidRPr="00EF70E1">
        <w:rPr>
          <w:rFonts w:ascii="Gambria" w:hAnsi="Gambria"/>
          <w:sz w:val="22"/>
          <w:szCs w:val="22"/>
        </w:rPr>
        <w:t>vyradení</w:t>
      </w:r>
      <w:r w:rsidRPr="00EF70E1">
        <w:rPr>
          <w:rFonts w:ascii="Gambria" w:hAnsi="Gambria"/>
          <w:spacing w:val="-9"/>
          <w:sz w:val="22"/>
          <w:szCs w:val="22"/>
        </w:rPr>
        <w:t xml:space="preserve"> </w:t>
      </w:r>
      <w:r w:rsidRPr="00EF70E1">
        <w:rPr>
          <w:rFonts w:ascii="Gambria" w:hAnsi="Gambria"/>
          <w:sz w:val="22"/>
          <w:szCs w:val="22"/>
        </w:rPr>
        <w:t>zbierkového</w:t>
      </w:r>
      <w:r w:rsidRPr="00EF70E1">
        <w:rPr>
          <w:rFonts w:ascii="Gambria" w:hAnsi="Gambria"/>
          <w:spacing w:val="-9"/>
          <w:sz w:val="22"/>
          <w:szCs w:val="22"/>
        </w:rPr>
        <w:t xml:space="preserve"> </w:t>
      </w:r>
      <w:r w:rsidRPr="00EF70E1">
        <w:rPr>
          <w:rFonts w:ascii="Gambria" w:hAnsi="Gambria"/>
          <w:sz w:val="22"/>
          <w:szCs w:val="22"/>
        </w:rPr>
        <w:t>predmetu</w:t>
      </w:r>
      <w:r w:rsidRPr="00EF70E1">
        <w:rPr>
          <w:rFonts w:ascii="Gambria" w:hAnsi="Gambria"/>
          <w:spacing w:val="-8"/>
          <w:sz w:val="22"/>
          <w:szCs w:val="22"/>
        </w:rPr>
        <w:t xml:space="preserve"> </w:t>
      </w:r>
      <w:r w:rsidRPr="00EF70E1">
        <w:rPr>
          <w:rFonts w:ascii="Gambria" w:hAnsi="Gambria"/>
          <w:sz w:val="22"/>
          <w:szCs w:val="22"/>
        </w:rPr>
        <w:t>z</w:t>
      </w:r>
      <w:r w:rsidRPr="00EF70E1">
        <w:rPr>
          <w:rFonts w:ascii="Gambria" w:hAnsi="Gambria"/>
          <w:spacing w:val="-9"/>
          <w:sz w:val="22"/>
          <w:szCs w:val="22"/>
        </w:rPr>
        <w:t xml:space="preserve"> </w:t>
      </w:r>
      <w:r w:rsidRPr="00EF70E1">
        <w:rPr>
          <w:rFonts w:ascii="Gambria" w:hAnsi="Gambria"/>
          <w:sz w:val="22"/>
          <w:szCs w:val="22"/>
        </w:rPr>
        <w:t>odbornej</w:t>
      </w:r>
      <w:r w:rsidRPr="00EF70E1">
        <w:rPr>
          <w:rFonts w:ascii="Gambria" w:hAnsi="Gambria"/>
          <w:spacing w:val="-9"/>
          <w:sz w:val="22"/>
          <w:szCs w:val="22"/>
        </w:rPr>
        <w:t xml:space="preserve"> </w:t>
      </w:r>
      <w:r w:rsidRPr="00EF70E1">
        <w:rPr>
          <w:rFonts w:ascii="Gambria" w:hAnsi="Gambria"/>
          <w:sz w:val="22"/>
          <w:szCs w:val="22"/>
        </w:rPr>
        <w:t>evidencie,</w:t>
      </w:r>
    </w:p>
    <w:p w14:paraId="654570A1"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sz w:val="22"/>
          <w:szCs w:val="22"/>
        </w:rPr>
        <w:t>poznámky.</w:t>
      </w:r>
    </w:p>
    <w:p w14:paraId="33FEB7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cs="Arial"/>
          <w:sz w:val="22"/>
          <w:szCs w:val="22"/>
        </w:rPr>
        <w:t>Odborná evidencia  II.  stupňa  -  katalogizácia  sa  vykonáva  v  katalogizačnom  zázname  alebo</w:t>
      </w:r>
      <w:r w:rsidRPr="00EF70E1">
        <w:rPr>
          <w:rFonts w:ascii="Gambria" w:hAnsi="Gambria" w:cs="Arial"/>
          <w:spacing w:val="35"/>
          <w:sz w:val="22"/>
          <w:szCs w:val="22"/>
        </w:rPr>
        <w:t xml:space="preserve"> </w:t>
      </w:r>
      <w:r w:rsidRPr="00EF70E1">
        <w:rPr>
          <w:rFonts w:ascii="Gambria" w:hAnsi="Gambria" w:cs="Arial"/>
          <w:sz w:val="22"/>
          <w:szCs w:val="22"/>
        </w:rPr>
        <w:t xml:space="preserve">na dokumentačnej karte (zb. predmety výtvarného charakteru). </w:t>
      </w:r>
      <w:r w:rsidRPr="00EF70E1">
        <w:rPr>
          <w:rFonts w:ascii="Gambria" w:hAnsi="Gambria" w:cs="Arial"/>
          <w:spacing w:val="19"/>
          <w:sz w:val="22"/>
          <w:szCs w:val="22"/>
        </w:rPr>
        <w:t xml:space="preserve"> </w:t>
      </w:r>
      <w:r w:rsidRPr="00EF70E1">
        <w:rPr>
          <w:rFonts w:ascii="Gambria" w:hAnsi="Gambria" w:cs="Arial"/>
          <w:sz w:val="22"/>
          <w:szCs w:val="22"/>
        </w:rPr>
        <w:t>Súčasťou odbornej evidencie II. stupňa je aj obrazová dokumentácia.</w:t>
      </w:r>
      <w:r w:rsidRPr="00EF70E1">
        <w:rPr>
          <w:rFonts w:ascii="Gambria" w:hAnsi="Gambria" w:cs="Arial"/>
          <w:spacing w:val="35"/>
          <w:sz w:val="22"/>
          <w:szCs w:val="22"/>
        </w:rPr>
        <w:t xml:space="preserve"> </w:t>
      </w:r>
      <w:r w:rsidRPr="00EF70E1">
        <w:rPr>
          <w:rFonts w:ascii="Gambria" w:hAnsi="Gambria" w:cs="Arial"/>
          <w:sz w:val="22"/>
          <w:szCs w:val="22"/>
        </w:rPr>
        <w:t>Časť zbierkových predmetov, získaných v období rokov 1890 – 1994, bola z dôvodu určenia aktuálnej</w:t>
      </w:r>
      <w:r w:rsidRPr="00EF70E1">
        <w:rPr>
          <w:rFonts w:ascii="Gambria" w:hAnsi="Gambria" w:cs="Arial"/>
          <w:spacing w:val="-1"/>
          <w:w w:val="99"/>
          <w:sz w:val="22"/>
          <w:szCs w:val="22"/>
        </w:rPr>
        <w:t xml:space="preserve"> </w:t>
      </w:r>
      <w:r w:rsidRPr="00EF70E1">
        <w:rPr>
          <w:rFonts w:ascii="Gambria" w:hAnsi="Gambria" w:cs="Arial"/>
          <w:sz w:val="22"/>
          <w:szCs w:val="22"/>
        </w:rPr>
        <w:t>hodnoty, resp. hodnoty  (pri  zb.  predmetoch,  ktoré  nemali  uvedenú  ani  nadobúdaciu  hodnotu)</w:t>
      </w:r>
      <w:r w:rsidRPr="00EF70E1">
        <w:rPr>
          <w:rFonts w:ascii="Gambria" w:hAnsi="Gambria" w:cs="Arial"/>
          <w:spacing w:val="15"/>
          <w:sz w:val="22"/>
          <w:szCs w:val="22"/>
        </w:rPr>
        <w:t xml:space="preserve"> </w:t>
      </w:r>
      <w:r w:rsidRPr="00EF70E1">
        <w:rPr>
          <w:rFonts w:ascii="Gambria" w:hAnsi="Gambria" w:cs="Arial"/>
          <w:sz w:val="22"/>
          <w:szCs w:val="22"/>
        </w:rPr>
        <w:t>prehodnotená</w:t>
      </w:r>
      <w:r w:rsidRPr="00EF70E1">
        <w:rPr>
          <w:rFonts w:ascii="Gambria" w:hAnsi="Gambria" w:cs="Arial"/>
          <w:spacing w:val="-1"/>
          <w:w w:val="99"/>
          <w:sz w:val="22"/>
          <w:szCs w:val="22"/>
        </w:rPr>
        <w:t xml:space="preserve"> </w:t>
      </w:r>
      <w:r w:rsidRPr="00EF70E1">
        <w:rPr>
          <w:rFonts w:ascii="Gambria" w:hAnsi="Gambria" w:cs="Arial"/>
          <w:sz w:val="22"/>
          <w:szCs w:val="22"/>
        </w:rPr>
        <w:t>na základe odborných</w:t>
      </w:r>
      <w:r w:rsidRPr="00EF70E1">
        <w:rPr>
          <w:rFonts w:ascii="Gambria" w:hAnsi="Gambria" w:cs="Arial"/>
          <w:spacing w:val="-34"/>
          <w:sz w:val="22"/>
          <w:szCs w:val="22"/>
        </w:rPr>
        <w:t xml:space="preserve"> </w:t>
      </w:r>
      <w:r w:rsidRPr="00EF70E1">
        <w:rPr>
          <w:rFonts w:ascii="Gambria" w:hAnsi="Gambria" w:cs="Arial"/>
          <w:sz w:val="22"/>
          <w:szCs w:val="22"/>
        </w:rPr>
        <w:t>posudkov.</w:t>
      </w:r>
    </w:p>
    <w:p w14:paraId="4DC4B412"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BC7DB4">
        <w:rPr>
          <w:rFonts w:ascii="Gambria" w:hAnsi="Gambria" w:cs="Arial"/>
          <w:sz w:val="22"/>
          <w:szCs w:val="22"/>
        </w:rPr>
        <w:t>Všetky zbierkové predmety sú evidované v odbornej evidencii I. a II. stupňa, ktorá tvorí operatívnu evidenciu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p w14:paraId="0E3D0822"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pri poistení cudzích  vecí, ktoré poistený oprávnene užíva alebo ich prevzal od fyzickej alebo právnickej osoby na základe zmluvného vzťahu, predmetom ktorého je vykonávanie prác a/alebo inej činnosti pre tretiu osobu, ktorá je predmetom činnosti poisteného alebo za účelom poskytnutia služby alebo má k nim právo hospodárenia, sa poskytuje poistné plnenie v nových cenách.</w:t>
      </w:r>
    </w:p>
    <w:p w14:paraId="566DC1EA"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za zbierkové predmety sa považujú aj predmety zo skla.</w:t>
      </w:r>
    </w:p>
    <w:p w14:paraId="4BB50560"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poistenie sa vzťahuje aj na riziká spôsobené teroristickým činom a sabotážou. Pod pojmom teroristický čin sa rozumie konanie alebo rad konaní osôb alebo skupiny osôb používajúcej silu alebo násilie, či už táto osoba alebo skupina osôb koná samostatne alebo v niekoho prospech alebo v spojení s nejakou organizáciou (organizáciami) a dopúšťa sa tohto konania z politických, náboženských alebo ideologických dôvodov vrátane úmyslu ovplyvniť vládu a/alebo zastrašiť verejnosť. Pod pojmom sabotáž sa rozumie podvratný čin alebo rad takýchto činov spáchaných z politických, náboženských alebo ideologických dôvodov, vrátane úmyslu ovplyvniť vládu a/alebo zastrašiť verejnosť. Limit plnenia 160.000.000,- EUR.</w:t>
      </w:r>
    </w:p>
    <w:p w14:paraId="7A9C05C5"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 xml:space="preserve">Dojednáva sa, že poistenie sa vzťahuje aj na úmyselné poškodenie alebo zničenie poistenej veci v príčinnej súvislosti s demonštráciou alebo represívnymi zásahmi štátnych orgánov, ale aj represívnymi zásahmi vyvolanými inými skutočnosťami.  </w:t>
      </w:r>
    </w:p>
    <w:p w14:paraId="4E9644DC" w14:textId="77777777" w:rsidR="00A1602B" w:rsidRPr="00EF70E1" w:rsidRDefault="00A1602B" w:rsidP="00A1602B">
      <w:pPr>
        <w:spacing w:line="259" w:lineRule="auto"/>
        <w:ind w:left="567" w:right="21" w:hanging="567"/>
        <w:rPr>
          <w:rFonts w:ascii="Gambria" w:hAnsi="Gambria"/>
          <w:sz w:val="22"/>
          <w:szCs w:val="22"/>
        </w:rPr>
      </w:pPr>
    </w:p>
    <w:p w14:paraId="75DC9425" w14:textId="77777777" w:rsidR="00A1602B" w:rsidRPr="00EF70E1" w:rsidRDefault="00A1602B" w:rsidP="00A1602B">
      <w:pPr>
        <w:pStyle w:val="ListParagraph"/>
        <w:widowControl/>
        <w:numPr>
          <w:ilvl w:val="1"/>
          <w:numId w:val="17"/>
        </w:numPr>
        <w:autoSpaceDE/>
        <w:autoSpaceDN/>
        <w:adjustRightInd/>
        <w:spacing w:line="259" w:lineRule="auto"/>
        <w:ind w:left="567" w:hanging="567"/>
        <w:jc w:val="left"/>
        <w:rPr>
          <w:rFonts w:ascii="Gambria" w:hAnsi="Gambria"/>
          <w:b/>
          <w:bCs/>
          <w:iCs/>
          <w:sz w:val="22"/>
          <w:szCs w:val="22"/>
        </w:rPr>
      </w:pPr>
      <w:r w:rsidRPr="00EF70E1">
        <w:rPr>
          <w:rFonts w:ascii="Gambria" w:hAnsi="Gambria"/>
          <w:b/>
          <w:bCs/>
          <w:iCs/>
          <w:sz w:val="22"/>
          <w:szCs w:val="22"/>
        </w:rPr>
        <w:t>Poistenie pre prípad odcudzenia veci, krádeže a vandalizmu</w:t>
      </w:r>
    </w:p>
    <w:p w14:paraId="2A2C42AF" w14:textId="77777777" w:rsidR="00A1602B" w:rsidRPr="00EF70E1" w:rsidRDefault="00A1602B" w:rsidP="00A1602B">
      <w:pPr>
        <w:numPr>
          <w:ilvl w:val="2"/>
          <w:numId w:val="17"/>
        </w:numPr>
        <w:spacing w:line="259" w:lineRule="auto"/>
        <w:ind w:left="567" w:hanging="567"/>
        <w:jc w:val="both"/>
        <w:rPr>
          <w:rFonts w:ascii="Gambria" w:hAnsi="Gambria"/>
          <w:sz w:val="22"/>
          <w:szCs w:val="22"/>
        </w:rPr>
      </w:pPr>
      <w:bookmarkStart w:id="2" w:name="_Hlk41302232"/>
      <w:r w:rsidRPr="00EF70E1">
        <w:rPr>
          <w:rFonts w:ascii="Gambria" w:hAnsi="Gambria"/>
          <w:sz w:val="22"/>
          <w:szCs w:val="22"/>
        </w:rPr>
        <w:t>Predmet poistenia – poistenie pre prípad odcudzenia veci:</w:t>
      </w:r>
    </w:p>
    <w:p w14:paraId="7F06F522"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bookmarkStart w:id="3" w:name="_Hlk41302194"/>
      <w:r w:rsidRPr="00EF70E1">
        <w:rPr>
          <w:rFonts w:ascii="Gambria" w:hAnsi="Gambria"/>
          <w:bCs/>
          <w:sz w:val="22"/>
          <w:szCs w:val="22"/>
        </w:rPr>
        <w:t>Stavebné súčasti budov, hál a stavieb vrátane ich príslušenstva, na I. riziko na novú cenu</w:t>
      </w:r>
    </w:p>
    <w:p w14:paraId="48F71715"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Súbor hnuteľného majetku vrátane strojov, prístrojov a zariadení,</w:t>
      </w:r>
      <w:r>
        <w:rPr>
          <w:rFonts w:ascii="Gambria" w:hAnsi="Gambria"/>
          <w:bCs/>
          <w:sz w:val="22"/>
          <w:szCs w:val="22"/>
        </w:rPr>
        <w:t xml:space="preserve"> drobný hmotný majetok,</w:t>
      </w:r>
      <w:r w:rsidRPr="00EF70E1">
        <w:rPr>
          <w:rFonts w:ascii="Gambria" w:hAnsi="Gambria"/>
          <w:bCs/>
          <w:sz w:val="22"/>
          <w:szCs w:val="22"/>
        </w:rPr>
        <w:t xml:space="preserve">, inventáru,  mobiliáru, drobného majetku v používaní </w:t>
      </w:r>
      <w:r>
        <w:rPr>
          <w:rFonts w:ascii="Gambria" w:hAnsi="Gambria"/>
          <w:bCs/>
          <w:sz w:val="22"/>
          <w:szCs w:val="22"/>
        </w:rPr>
        <w:t>n</w:t>
      </w:r>
      <w:r w:rsidRPr="00EF70E1">
        <w:rPr>
          <w:rFonts w:ascii="Gambria" w:hAnsi="Gambria"/>
          <w:bCs/>
          <w:sz w:val="22"/>
          <w:szCs w:val="22"/>
        </w:rPr>
        <w:t>a podsúvahovom účte, dopravných prostriedkov bez evidenčného čísla vozidla s výnimkou vozidiel, ktorým je pridelené evidenčné číslo vozidla, lodí a lietadiel, na I. riziko na novú cenu</w:t>
      </w:r>
    </w:p>
    <w:p w14:paraId="4A3D52AD"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cs="Arial"/>
          <w:bCs/>
          <w:sz w:val="22"/>
          <w:szCs w:val="22"/>
        </w:rPr>
        <w:t xml:space="preserve">Zbierky umeleckých predmetov, </w:t>
      </w:r>
      <w:r>
        <w:rPr>
          <w:rFonts w:ascii="Gambria" w:hAnsi="Gambria" w:cs="Arial"/>
          <w:bCs/>
          <w:sz w:val="22"/>
          <w:szCs w:val="22"/>
        </w:rPr>
        <w:t>zbierkové predmety</w:t>
      </w:r>
      <w:r w:rsidRPr="00EF70E1">
        <w:rPr>
          <w:rFonts w:ascii="Gambria" w:hAnsi="Gambria" w:cs="Arial"/>
          <w:bCs/>
          <w:sz w:val="22"/>
          <w:szCs w:val="22"/>
        </w:rPr>
        <w:t xml:space="preserve"> (napr.: obrazy, sochy, knihy, hudobné nástroje atď.)</w:t>
      </w:r>
      <w:r>
        <w:rPr>
          <w:rFonts w:ascii="Gambria" w:hAnsi="Gambria" w:cs="Arial"/>
          <w:bCs/>
          <w:sz w:val="22"/>
          <w:szCs w:val="22"/>
        </w:rPr>
        <w:t xml:space="preserve"> </w:t>
      </w:r>
      <w:r>
        <w:t xml:space="preserve">a </w:t>
      </w:r>
      <w:r w:rsidRPr="004440C4">
        <w:rPr>
          <w:rFonts w:ascii="Gambria" w:hAnsi="Gambria" w:cs="Arial"/>
          <w:bCs/>
          <w:sz w:val="22"/>
          <w:szCs w:val="22"/>
        </w:rPr>
        <w:t>zapožičané cudzie zbie</w:t>
      </w:r>
      <w:r>
        <w:rPr>
          <w:rFonts w:ascii="Gambria" w:hAnsi="Gambria" w:cs="Arial"/>
          <w:bCs/>
          <w:sz w:val="22"/>
          <w:szCs w:val="22"/>
        </w:rPr>
        <w:t>r</w:t>
      </w:r>
      <w:r w:rsidRPr="004440C4">
        <w:rPr>
          <w:rFonts w:ascii="Gambria" w:hAnsi="Gambria" w:cs="Arial"/>
          <w:bCs/>
          <w:sz w:val="22"/>
          <w:szCs w:val="22"/>
        </w:rPr>
        <w:t>ky</w:t>
      </w:r>
    </w:p>
    <w:p w14:paraId="2D998CB8"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Peniaze, ceniny, cennosti, stravné lístky a listinné papiere v trezore a pokladniach na poistnú sumu</w:t>
      </w:r>
    </w:p>
    <w:p w14:paraId="76B82876"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Preprava peňazí, cenností a cenín na poistnú sumu</w:t>
      </w:r>
    </w:p>
    <w:p w14:paraId="11F52ADC" w14:textId="77777777" w:rsidR="00A1602B" w:rsidRPr="00EF70E1" w:rsidRDefault="00A1602B" w:rsidP="00A1602B">
      <w:pPr>
        <w:spacing w:line="259" w:lineRule="auto"/>
        <w:ind w:left="567" w:hanging="567"/>
        <w:rPr>
          <w:rFonts w:ascii="Gambria" w:hAnsi="Gambria"/>
          <w:b/>
          <w:bCs/>
          <w:sz w:val="22"/>
          <w:szCs w:val="22"/>
        </w:rPr>
      </w:pPr>
    </w:p>
    <w:p w14:paraId="0579F44B" w14:textId="77777777" w:rsidR="00A1602B" w:rsidRPr="00EF70E1" w:rsidRDefault="00A1602B" w:rsidP="00A1602B">
      <w:pPr>
        <w:pStyle w:val="ListParagraph"/>
        <w:numPr>
          <w:ilvl w:val="2"/>
          <w:numId w:val="17"/>
        </w:numPr>
        <w:spacing w:line="259" w:lineRule="auto"/>
        <w:ind w:left="567" w:hanging="567"/>
        <w:jc w:val="left"/>
        <w:rPr>
          <w:rFonts w:ascii="Gambria" w:hAnsi="Gambria"/>
          <w:sz w:val="22"/>
          <w:szCs w:val="22"/>
        </w:rPr>
      </w:pPr>
      <w:r w:rsidRPr="00EF70E1">
        <w:rPr>
          <w:rFonts w:ascii="Gambria" w:hAnsi="Gambria"/>
          <w:sz w:val="22"/>
          <w:szCs w:val="22"/>
        </w:rPr>
        <w:t>Poistenie pre prípad krádeže, poškodenia alebo zničenia, pričom páchateľ sa zmocnil poistenej veci nasledujúcim spôsobom:</w:t>
      </w:r>
    </w:p>
    <w:p w14:paraId="329DA7D4" w14:textId="77777777" w:rsidR="00A1602B" w:rsidRPr="00EF70E1" w:rsidRDefault="00A1602B" w:rsidP="00A1602B">
      <w:pPr>
        <w:numPr>
          <w:ilvl w:val="0"/>
          <w:numId w:val="3"/>
        </w:numPr>
        <w:tabs>
          <w:tab w:val="clear" w:pos="360"/>
        </w:tabs>
        <w:spacing w:line="259" w:lineRule="auto"/>
        <w:ind w:left="567" w:hanging="567"/>
        <w:jc w:val="both"/>
        <w:rPr>
          <w:rFonts w:ascii="Gambria" w:hAnsi="Gambria"/>
          <w:sz w:val="22"/>
          <w:szCs w:val="22"/>
        </w:rPr>
      </w:pPr>
      <w:r w:rsidRPr="00EF70E1">
        <w:rPr>
          <w:rFonts w:ascii="Gambria" w:hAnsi="Gambria"/>
          <w:sz w:val="22"/>
          <w:szCs w:val="22"/>
        </w:rPr>
        <w:t>do miesta poistenia sa dostal tak, že ho otvoril nástrojom, ktorý nie je určený na jeho riadne otvorenie,</w:t>
      </w:r>
    </w:p>
    <w:p w14:paraId="653C4DE6"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lastRenderedPageBreak/>
        <w:t>do miesta poistenia sa dostal iným preukázateľne násilným spôsobom,</w:t>
      </w:r>
    </w:p>
    <w:p w14:paraId="5585613F"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v mieste sa skryl, po jeho zamknutí sa veci zmocnil a pri jeho opustení zanechal po sebe stopy, ktoré môžu byť použité ako dôkazný prostriedok,</w:t>
      </w:r>
    </w:p>
    <w:p w14:paraId="78F08EEA"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miesto poistenia otvoril originálnym kľúčom alebo legálne zhotoveným duplikátom, ktorého sa zmocnil krádežou vlámaním alebo lúpežným prepadnutím,</w:t>
      </w:r>
    </w:p>
    <w:p w14:paraId="3FA7AFD4"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do schránky, ktorej obsah je poistený sa dostal alebo ju otvoril nástrojom, ktorý nie je určený na jej riadne otvorenie,</w:t>
      </w:r>
    </w:p>
    <w:p w14:paraId="1F112592"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krádežou, pri ktorej páchateľ preukázateľne prekonal prekážku alebo opatrenie chrániace poistenú vec pred krádežou,</w:t>
      </w:r>
    </w:p>
    <w:p w14:paraId="6FDB0570"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krádežou, pri ktorej boli poistené veci poistenému alebo jeho pracovníkovi zobrané, pretože jeho odpor bol vylúčený v dôsledku telesného stavu po nehode alebo v dôsledku inej príčiny, za ktorú nemôže byť zodpovedný,</w:t>
      </w:r>
    </w:p>
    <w:p w14:paraId="406C8AC1"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lúpežou - zmocnením sa poistenej veci tak, že páchateľ použil proti poistenému, jeho pracovníkovi alebo inej osobe násilie alebo hrozbu násilia,</w:t>
      </w:r>
    </w:p>
    <w:p w14:paraId="1F13EBB3"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v súvislosti s vykonaním alebo pokusom o vykonanie krádeže alebo lúpeže bez ohľadu či k samotnej krádeži alebo lúpeži  poistenej veci došlo alebo nedošlo.</w:t>
      </w:r>
    </w:p>
    <w:p w14:paraId="5A4606D8" w14:textId="77777777" w:rsidR="00A1602B" w:rsidRPr="00EF70E1" w:rsidRDefault="00A1602B" w:rsidP="00A1602B">
      <w:pPr>
        <w:spacing w:line="259" w:lineRule="auto"/>
        <w:ind w:left="567" w:hanging="567"/>
        <w:rPr>
          <w:rFonts w:ascii="Gambria" w:hAnsi="Gambria"/>
          <w:sz w:val="22"/>
          <w:szCs w:val="22"/>
        </w:rPr>
      </w:pPr>
    </w:p>
    <w:p w14:paraId="4B817DFC"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bCs/>
          <w:sz w:val="22"/>
          <w:szCs w:val="22"/>
        </w:rPr>
        <w:t xml:space="preserve">Osobitné dojednania – poistenie pre prípad odcudzenia veci </w:t>
      </w:r>
      <w:r w:rsidRPr="00EF70E1">
        <w:rPr>
          <w:rFonts w:ascii="Gambria" w:hAnsi="Gambria"/>
          <w:sz w:val="22"/>
          <w:szCs w:val="22"/>
        </w:rPr>
        <w:tab/>
      </w:r>
    </w:p>
    <w:p w14:paraId="41CB0D81" w14:textId="77777777" w:rsidR="00A1602B" w:rsidRPr="00EF70E1" w:rsidRDefault="00A1602B" w:rsidP="00A1602B">
      <w:pPr>
        <w:pStyle w:val="ListParagraph"/>
        <w:widowControl/>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1. </w:t>
      </w:r>
      <w:r>
        <w:rPr>
          <w:rFonts w:ascii="Gambria" w:hAnsi="Gambria"/>
          <w:sz w:val="22"/>
          <w:szCs w:val="22"/>
        </w:rPr>
        <w:tab/>
      </w:r>
      <w:r w:rsidRPr="00EF70E1">
        <w:rPr>
          <w:rFonts w:ascii="Gambria" w:hAnsi="Gambria"/>
          <w:sz w:val="22"/>
          <w:szCs w:val="22"/>
        </w:rPr>
        <w:t>Poistenie sa vzťahuje aj na úmyselné poškodenie alebo zničenie poistenej veci, ak úmyselné konanie smerovalo k poškodeniu alebo zničeniu poisteného majetku, proti osobe poisteného alebo proti osobe vlastníka poisteného majetku.</w:t>
      </w:r>
    </w:p>
    <w:p w14:paraId="25D1E95A"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poistné krytie zahŕňa aj vnútorný a vonkajší vandalizmus /zistený aj nezistený páchateľ/.</w:t>
      </w:r>
    </w:p>
    <w:p w14:paraId="00F1F339"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5D0C76C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Vonkajší vandalizmus znamená, že iná osoba ako poistený spácha úmyselné poškodenie alebo zničenie verejne prístupnej poistenej veci.</w:t>
      </w:r>
    </w:p>
    <w:p w14:paraId="42364694" w14:textId="77777777" w:rsidR="00A1602B" w:rsidRPr="00EF70E1" w:rsidRDefault="00A1602B" w:rsidP="00A1602B">
      <w:pPr>
        <w:numPr>
          <w:ilvl w:val="0"/>
          <w:numId w:val="17"/>
        </w:numPr>
        <w:spacing w:line="259" w:lineRule="auto"/>
        <w:ind w:left="567" w:hanging="567"/>
        <w:jc w:val="both"/>
        <w:rPr>
          <w:rFonts w:ascii="Gambria" w:hAnsi="Gambria"/>
          <w:sz w:val="22"/>
          <w:szCs w:val="22"/>
          <w:lang w:eastAsia="en-US"/>
        </w:rPr>
      </w:pPr>
      <w:r w:rsidRPr="00EF70E1">
        <w:rPr>
          <w:rFonts w:ascii="Gambria" w:hAnsi="Gambria"/>
          <w:sz w:val="22"/>
          <w:szCs w:val="22"/>
          <w:lang w:eastAsia="en-US"/>
        </w:rPr>
        <w:t>Pod pojmom úmyselné poškodenie alebo zničenie poistenej veci sa okrem iného rozumie aj estetické poškodenie poistenej veci – poškodenie sprejermi alebo grafitmi.</w:t>
      </w:r>
      <w:r>
        <w:rPr>
          <w:rFonts w:ascii="Gambria" w:hAnsi="Gambria"/>
          <w:sz w:val="22"/>
          <w:szCs w:val="22"/>
          <w:lang w:eastAsia="en-US"/>
        </w:rPr>
        <w:t xml:space="preserve"> </w:t>
      </w:r>
    </w:p>
    <w:p w14:paraId="373E723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71B132C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5F6B57F"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poistiteľ bude likvidovať poistné udalosti aj na základe rozpočtov vypracovaných na základe schválených cenníkov</w:t>
      </w:r>
      <w:r>
        <w:rPr>
          <w:rFonts w:ascii="Gambria" w:hAnsi="Gambria"/>
          <w:sz w:val="22"/>
          <w:szCs w:val="22"/>
        </w:rPr>
        <w:t xml:space="preserve"> (schválené rozpočtové cenníky, ktoré používajú rozpočtové a projektové organizácie napr. CENKROS, CENEKON, ODIS). V prípade škôd na hnuteľných veciach budú poistné udalosti likvidované aj na základe cenových ponúk vypracovaných výrobcom produktu prípadne odbornou servisnou organizáciou.</w:t>
      </w:r>
    </w:p>
    <w:p w14:paraId="549D8681" w14:textId="77777777" w:rsidR="00A1602B" w:rsidRPr="00EF70E1" w:rsidRDefault="00A1602B" w:rsidP="00A1602B">
      <w:pPr>
        <w:pStyle w:val="BodyText"/>
        <w:keepNext/>
        <w:keepLines/>
        <w:numPr>
          <w:ilvl w:val="0"/>
          <w:numId w:val="17"/>
        </w:numPr>
        <w:autoSpaceDE w:val="0"/>
        <w:autoSpaceDN w:val="0"/>
        <w:spacing w:line="259" w:lineRule="auto"/>
        <w:ind w:left="567" w:hanging="567"/>
        <w:rPr>
          <w:rFonts w:ascii="Gambria" w:hAnsi="Gambria"/>
          <w:b/>
          <w:sz w:val="22"/>
          <w:szCs w:val="22"/>
        </w:rPr>
      </w:pPr>
      <w:r w:rsidRPr="00EF70E1">
        <w:rPr>
          <w:rFonts w:ascii="Gambria" w:hAnsi="Gambria"/>
          <w:sz w:val="22"/>
          <w:szCs w:val="22"/>
        </w:rPr>
        <w:lastRenderedPageBreak/>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A3DD3A3" w14:textId="77777777" w:rsidR="00A1602B" w:rsidRPr="00EF70E1" w:rsidRDefault="00A1602B" w:rsidP="00A1602B">
      <w:pPr>
        <w:pStyle w:val="BodyText"/>
        <w:keepNext/>
        <w:keepLines/>
        <w:numPr>
          <w:ilvl w:val="0"/>
          <w:numId w:val="17"/>
        </w:numPr>
        <w:autoSpaceDE w:val="0"/>
        <w:autoSpaceDN w:val="0"/>
        <w:spacing w:line="259" w:lineRule="auto"/>
        <w:ind w:left="567" w:hanging="567"/>
        <w:rPr>
          <w:rFonts w:ascii="Gambria" w:hAnsi="Gambria"/>
          <w:b/>
          <w:sz w:val="22"/>
          <w:szCs w:val="22"/>
        </w:rPr>
      </w:pPr>
      <w:r w:rsidRPr="00EF70E1">
        <w:rPr>
          <w:rFonts w:ascii="Gambria" w:hAnsi="Gambria"/>
          <w:sz w:val="22"/>
          <w:szCs w:val="22"/>
        </w:rPr>
        <w:t>Dojednáva sa, že poistením sú kryté aj následné škody súvisiace s poistnou udalosťou definovanou v bode 1.2. článku II. Rozsah poistenia.</w:t>
      </w:r>
    </w:p>
    <w:p w14:paraId="70ECE6B5" w14:textId="77777777" w:rsidR="00A1602B" w:rsidRPr="00EF70E1" w:rsidRDefault="00A1602B" w:rsidP="00A1602B">
      <w:pPr>
        <w:pStyle w:val="BodyText"/>
        <w:numPr>
          <w:ilvl w:val="0"/>
          <w:numId w:val="17"/>
        </w:numPr>
        <w:tabs>
          <w:tab w:val="left" w:pos="567"/>
        </w:tabs>
        <w:spacing w:line="259" w:lineRule="auto"/>
        <w:ind w:left="567" w:hanging="567"/>
        <w:rPr>
          <w:rFonts w:ascii="Gambria" w:hAnsi="Gambria"/>
          <w:sz w:val="22"/>
          <w:szCs w:val="22"/>
        </w:rPr>
      </w:pPr>
      <w:r w:rsidRPr="00EF70E1">
        <w:rPr>
          <w:rFonts w:ascii="Gambria" w:hAnsi="Gambria"/>
          <w:sz w:val="22"/>
          <w:szCs w:val="22"/>
        </w:rPr>
        <w:t xml:space="preserve">Pre </w:t>
      </w:r>
      <w:r w:rsidRPr="00EF70E1">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p>
    <w:p w14:paraId="4B5BAD6E"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sz w:val="22"/>
          <w:szCs w:val="22"/>
        </w:rPr>
        <w:t xml:space="preserve">Ročný limit plnenia pre jednu a pre všetky poistné udalosti z rizika odcudzenie krádežou vlámaním, lúpežou a vandalizmom je 20.000,- EUR. Limit plnenia zahŕňa aj náklady nevyhnutné na odvrátenie a zmiernenie škody, vypratanie miesta poistenia vrátane strhnutia stojacich častí, odvoz sutiny a iných zvyškov na najbližšiu skládku a na ich uloženie alebo zničenie, ďalej náklady na demontáž a </w:t>
      </w:r>
      <w:proofErr w:type="spellStart"/>
      <w:r w:rsidRPr="00EF70E1">
        <w:rPr>
          <w:rFonts w:ascii="Gambria" w:hAnsi="Gambria"/>
          <w:sz w:val="22"/>
          <w:szCs w:val="22"/>
        </w:rPr>
        <w:t>remontáž</w:t>
      </w:r>
      <w:proofErr w:type="spellEnd"/>
      <w:r w:rsidRPr="00EF70E1">
        <w:rPr>
          <w:rFonts w:ascii="Gambria" w:hAnsi="Gambria"/>
          <w:sz w:val="22"/>
          <w:szCs w:val="22"/>
        </w:rPr>
        <w:t xml:space="preserve"> ostatných nepoškodených poistených vecí a nepoškodených stavebných súčastí budov a náklady na stavebné úpravy vykonané v súvislosti so </w:t>
      </w:r>
      <w:proofErr w:type="spellStart"/>
      <w:r w:rsidRPr="00EF70E1">
        <w:rPr>
          <w:rFonts w:ascii="Gambria" w:hAnsi="Gambria"/>
          <w:sz w:val="22"/>
          <w:szCs w:val="22"/>
        </w:rPr>
        <w:t>znovuobstaraním</w:t>
      </w:r>
      <w:proofErr w:type="spellEnd"/>
      <w:r w:rsidRPr="00EF70E1">
        <w:rPr>
          <w:rFonts w:ascii="Gambria" w:hAnsi="Gambria"/>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7194295"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 xml:space="preserve">V prípade škody na zbierkových predmetoch, ktoré nemajú vystavené znalecké posudky bude </w:t>
      </w:r>
      <w:r w:rsidRPr="00EF70E1">
        <w:rPr>
          <w:rFonts w:ascii="Gambria" w:hAnsi="Gambria" w:cs="Arial"/>
          <w:spacing w:val="16"/>
          <w:sz w:val="22"/>
          <w:szCs w:val="22"/>
        </w:rPr>
        <w:t xml:space="preserve"> </w:t>
      </w:r>
      <w:r w:rsidRPr="00EF70E1">
        <w:rPr>
          <w:rFonts w:ascii="Gambria" w:hAnsi="Gambria" w:cs="Arial"/>
          <w:sz w:val="22"/>
          <w:szCs w:val="22"/>
        </w:rPr>
        <w:t>pois</w:t>
      </w:r>
      <w:r>
        <w:rPr>
          <w:rFonts w:ascii="Gambria" w:hAnsi="Gambria" w:cs="Arial"/>
          <w:sz w:val="22"/>
          <w:szCs w:val="22"/>
        </w:rPr>
        <w:t>titeľ</w:t>
      </w:r>
      <w:r w:rsidRPr="00EF70E1">
        <w:rPr>
          <w:rFonts w:ascii="Gambria" w:hAnsi="Gambria" w:cs="Arial"/>
          <w:w w:val="99"/>
          <w:sz w:val="22"/>
          <w:szCs w:val="22"/>
        </w:rPr>
        <w:t xml:space="preserve"> </w:t>
      </w:r>
      <w:r w:rsidRPr="00EF70E1">
        <w:rPr>
          <w:rFonts w:ascii="Gambria" w:hAnsi="Gambria" w:cs="Arial"/>
          <w:sz w:val="22"/>
          <w:szCs w:val="22"/>
        </w:rPr>
        <w:t>postupovať nasledovným</w:t>
      </w:r>
      <w:r w:rsidRPr="00EF70E1">
        <w:rPr>
          <w:rFonts w:ascii="Gambria" w:hAnsi="Gambria" w:cs="Arial"/>
          <w:spacing w:val="-35"/>
          <w:sz w:val="22"/>
          <w:szCs w:val="22"/>
        </w:rPr>
        <w:t xml:space="preserve"> </w:t>
      </w:r>
      <w:r w:rsidRPr="00EF70E1">
        <w:rPr>
          <w:rFonts w:ascii="Gambria" w:hAnsi="Gambria" w:cs="Arial"/>
          <w:sz w:val="22"/>
          <w:szCs w:val="22"/>
        </w:rPr>
        <w:t xml:space="preserve">spôsobom: Komisia na tvorbu zbierok Národnej banky Slovenska – Múzea mincí a medailí, zložená z expertov na daný druh zbierkových predmetov  stanoví </w:t>
      </w:r>
      <w:r w:rsidRPr="00EF70E1">
        <w:rPr>
          <w:rFonts w:ascii="Gambria" w:hAnsi="Gambria" w:cs="Arial"/>
          <w:spacing w:val="39"/>
          <w:sz w:val="22"/>
          <w:szCs w:val="22"/>
        </w:rPr>
        <w:t xml:space="preserve"> </w:t>
      </w:r>
      <w:r w:rsidRPr="00EF70E1">
        <w:rPr>
          <w:rFonts w:ascii="Gambria" w:hAnsi="Gambria" w:cs="Arial"/>
          <w:sz w:val="22"/>
          <w:szCs w:val="22"/>
        </w:rPr>
        <w:t>predpokladanú</w:t>
      </w:r>
      <w:r w:rsidRPr="00EF70E1">
        <w:rPr>
          <w:rFonts w:ascii="Gambria" w:hAnsi="Gambria" w:cs="Arial"/>
          <w:spacing w:val="-1"/>
          <w:w w:val="99"/>
          <w:sz w:val="22"/>
          <w:szCs w:val="22"/>
        </w:rPr>
        <w:t xml:space="preserve"> </w:t>
      </w:r>
      <w:r w:rsidRPr="00EF70E1">
        <w:rPr>
          <w:rFonts w:ascii="Gambria" w:hAnsi="Gambria" w:cs="Arial"/>
          <w:sz w:val="22"/>
          <w:szCs w:val="22"/>
        </w:rPr>
        <w:t>hodnotu  zničených,  poškodených   alebo   odcudzených   predmetov   poistenia. Pois</w:t>
      </w:r>
      <w:r>
        <w:rPr>
          <w:rFonts w:ascii="Gambria" w:hAnsi="Gambria" w:cs="Arial"/>
          <w:sz w:val="22"/>
          <w:szCs w:val="22"/>
        </w:rPr>
        <w:t>titeľ</w:t>
      </w:r>
      <w:r w:rsidRPr="00EF70E1">
        <w:rPr>
          <w:rFonts w:ascii="Gambria" w:hAnsi="Gambria" w:cs="Arial"/>
          <w:sz w:val="22"/>
          <w:szCs w:val="22"/>
        </w:rPr>
        <w:t xml:space="preserve">   na </w:t>
      </w:r>
      <w:r w:rsidRPr="00EF70E1">
        <w:rPr>
          <w:rFonts w:ascii="Gambria" w:hAnsi="Gambria" w:cs="Arial"/>
          <w:spacing w:val="14"/>
          <w:sz w:val="22"/>
          <w:szCs w:val="22"/>
        </w:rPr>
        <w:t xml:space="preserve"> </w:t>
      </w:r>
      <w:r w:rsidRPr="00EF70E1">
        <w:rPr>
          <w:rFonts w:ascii="Gambria" w:hAnsi="Gambria" w:cs="Arial"/>
          <w:sz w:val="22"/>
          <w:szCs w:val="22"/>
        </w:rPr>
        <w:t>základe</w:t>
      </w:r>
      <w:r w:rsidRPr="00EF70E1">
        <w:rPr>
          <w:rFonts w:ascii="Gambria" w:hAnsi="Gambria" w:cs="Arial"/>
          <w:spacing w:val="-1"/>
          <w:w w:val="99"/>
          <w:sz w:val="22"/>
          <w:szCs w:val="22"/>
        </w:rPr>
        <w:t xml:space="preserve"> </w:t>
      </w:r>
      <w:r w:rsidRPr="00EF70E1">
        <w:rPr>
          <w:rFonts w:ascii="Gambria" w:hAnsi="Gambria" w:cs="Arial"/>
          <w:sz w:val="22"/>
          <w:szCs w:val="22"/>
        </w:rPr>
        <w:t>ocenenia</w:t>
      </w:r>
      <w:r w:rsidRPr="00EF70E1">
        <w:rPr>
          <w:rFonts w:ascii="Gambria" w:hAnsi="Gambria" w:cs="Arial"/>
          <w:spacing w:val="-9"/>
          <w:sz w:val="22"/>
          <w:szCs w:val="22"/>
        </w:rPr>
        <w:t xml:space="preserve"> </w:t>
      </w:r>
      <w:r w:rsidRPr="00EF70E1">
        <w:rPr>
          <w:rFonts w:ascii="Gambria" w:hAnsi="Gambria" w:cs="Arial"/>
          <w:sz w:val="22"/>
          <w:szCs w:val="22"/>
        </w:rPr>
        <w:t>pristúpi</w:t>
      </w:r>
      <w:r w:rsidRPr="00EF70E1">
        <w:rPr>
          <w:rFonts w:ascii="Gambria" w:hAnsi="Gambria" w:cs="Arial"/>
          <w:spacing w:val="-8"/>
          <w:sz w:val="22"/>
          <w:szCs w:val="22"/>
        </w:rPr>
        <w:t xml:space="preserve"> </w:t>
      </w:r>
      <w:r w:rsidRPr="00EF70E1">
        <w:rPr>
          <w:rFonts w:ascii="Gambria" w:hAnsi="Gambria" w:cs="Arial"/>
          <w:sz w:val="22"/>
          <w:szCs w:val="22"/>
        </w:rPr>
        <w:t>v</w:t>
      </w:r>
      <w:r w:rsidRPr="00EF70E1">
        <w:rPr>
          <w:rFonts w:ascii="Gambria" w:hAnsi="Gambria" w:cs="Arial"/>
          <w:spacing w:val="-9"/>
          <w:sz w:val="22"/>
          <w:szCs w:val="22"/>
        </w:rPr>
        <w:t xml:space="preserve"> </w:t>
      </w:r>
      <w:r w:rsidRPr="00EF70E1">
        <w:rPr>
          <w:rFonts w:ascii="Gambria" w:hAnsi="Gambria" w:cs="Arial"/>
          <w:sz w:val="22"/>
          <w:szCs w:val="22"/>
        </w:rPr>
        <w:t>prípade</w:t>
      </w:r>
      <w:r w:rsidRPr="00EF70E1">
        <w:rPr>
          <w:rFonts w:ascii="Gambria" w:hAnsi="Gambria" w:cs="Arial"/>
          <w:spacing w:val="-8"/>
          <w:sz w:val="22"/>
          <w:szCs w:val="22"/>
        </w:rPr>
        <w:t xml:space="preserve"> </w:t>
      </w:r>
      <w:r w:rsidRPr="00EF70E1">
        <w:rPr>
          <w:rFonts w:ascii="Gambria" w:hAnsi="Gambria" w:cs="Arial"/>
          <w:sz w:val="22"/>
          <w:szCs w:val="22"/>
        </w:rPr>
        <w:t>nároku</w:t>
      </w:r>
      <w:r w:rsidRPr="00EF70E1">
        <w:rPr>
          <w:rFonts w:ascii="Gambria" w:hAnsi="Gambria" w:cs="Arial"/>
          <w:spacing w:val="-9"/>
          <w:sz w:val="22"/>
          <w:szCs w:val="22"/>
        </w:rPr>
        <w:t xml:space="preserve"> </w:t>
      </w:r>
      <w:r w:rsidRPr="00EF70E1">
        <w:rPr>
          <w:rFonts w:ascii="Gambria" w:hAnsi="Gambria" w:cs="Arial"/>
          <w:sz w:val="22"/>
          <w:szCs w:val="22"/>
        </w:rPr>
        <w:t>k</w:t>
      </w:r>
      <w:r w:rsidRPr="00EF70E1">
        <w:rPr>
          <w:rFonts w:ascii="Gambria" w:hAnsi="Gambria" w:cs="Arial"/>
          <w:spacing w:val="-9"/>
          <w:sz w:val="22"/>
          <w:szCs w:val="22"/>
        </w:rPr>
        <w:t xml:space="preserve"> </w:t>
      </w:r>
      <w:r w:rsidRPr="00EF70E1">
        <w:rPr>
          <w:rFonts w:ascii="Gambria" w:hAnsi="Gambria" w:cs="Arial"/>
          <w:sz w:val="22"/>
          <w:szCs w:val="22"/>
        </w:rPr>
        <w:t>poistnému</w:t>
      </w:r>
      <w:r w:rsidRPr="00EF70E1">
        <w:rPr>
          <w:rFonts w:ascii="Gambria" w:hAnsi="Gambria" w:cs="Arial"/>
          <w:spacing w:val="-8"/>
          <w:sz w:val="22"/>
          <w:szCs w:val="22"/>
        </w:rPr>
        <w:t xml:space="preserve"> </w:t>
      </w:r>
      <w:r w:rsidRPr="00EF70E1">
        <w:rPr>
          <w:rFonts w:ascii="Gambria" w:hAnsi="Gambria" w:cs="Arial"/>
          <w:sz w:val="22"/>
          <w:szCs w:val="22"/>
        </w:rPr>
        <w:t>plneniu</w:t>
      </w:r>
      <w:r w:rsidRPr="00EF70E1">
        <w:rPr>
          <w:rFonts w:ascii="Gambria" w:hAnsi="Gambria" w:cs="Arial"/>
          <w:spacing w:val="-9"/>
          <w:sz w:val="22"/>
          <w:szCs w:val="22"/>
        </w:rPr>
        <w:t xml:space="preserve"> </w:t>
      </w:r>
      <w:r w:rsidRPr="00EF70E1">
        <w:rPr>
          <w:rFonts w:ascii="Gambria" w:hAnsi="Gambria" w:cs="Arial"/>
          <w:sz w:val="22"/>
          <w:szCs w:val="22"/>
        </w:rPr>
        <w:t>vo</w:t>
      </w:r>
      <w:r w:rsidRPr="00EF70E1">
        <w:rPr>
          <w:rFonts w:ascii="Gambria" w:hAnsi="Gambria" w:cs="Arial"/>
          <w:spacing w:val="-9"/>
          <w:sz w:val="22"/>
          <w:szCs w:val="22"/>
        </w:rPr>
        <w:t xml:space="preserve"> </w:t>
      </w:r>
      <w:r w:rsidRPr="00EF70E1">
        <w:rPr>
          <w:rFonts w:ascii="Gambria" w:hAnsi="Gambria" w:cs="Arial"/>
          <w:sz w:val="22"/>
          <w:szCs w:val="22"/>
        </w:rPr>
        <w:t>výške</w:t>
      </w:r>
      <w:r w:rsidRPr="00EF70E1">
        <w:rPr>
          <w:rFonts w:ascii="Gambria" w:hAnsi="Gambria" w:cs="Arial"/>
          <w:spacing w:val="-9"/>
          <w:sz w:val="22"/>
          <w:szCs w:val="22"/>
        </w:rPr>
        <w:t xml:space="preserve"> </w:t>
      </w:r>
      <w:r w:rsidRPr="00EF70E1">
        <w:rPr>
          <w:rFonts w:ascii="Gambria" w:hAnsi="Gambria" w:cs="Arial"/>
          <w:sz w:val="22"/>
          <w:szCs w:val="22"/>
        </w:rPr>
        <w:t>stanoveného</w:t>
      </w:r>
      <w:r w:rsidRPr="00EF70E1">
        <w:rPr>
          <w:rFonts w:ascii="Gambria" w:hAnsi="Gambria" w:cs="Arial"/>
          <w:spacing w:val="-9"/>
          <w:sz w:val="22"/>
          <w:szCs w:val="22"/>
        </w:rPr>
        <w:t xml:space="preserve"> </w:t>
      </w:r>
      <w:r w:rsidRPr="00EF70E1">
        <w:rPr>
          <w:rFonts w:ascii="Gambria" w:hAnsi="Gambria" w:cs="Arial"/>
          <w:sz w:val="22"/>
          <w:szCs w:val="22"/>
        </w:rPr>
        <w:t xml:space="preserve">ocenenia. Členov komisie na tvorbu zbierok na návrh riaditeľa múzea menuje výkonný riaditeľ príslušného úseku NBS. </w:t>
      </w:r>
    </w:p>
    <w:p w14:paraId="3F1C1E01"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 xml:space="preserve">Dojednáva sa, že poistením sú kryté aj cudzie zbierkové predmety a predmety,  ktoré  budú </w:t>
      </w:r>
      <w:r w:rsidRPr="00EF70E1">
        <w:rPr>
          <w:rFonts w:ascii="Gambria" w:hAnsi="Gambria" w:cs="Arial"/>
          <w:spacing w:val="17"/>
          <w:sz w:val="22"/>
          <w:szCs w:val="22"/>
        </w:rPr>
        <w:t xml:space="preserve"> </w:t>
      </w:r>
      <w:r w:rsidRPr="00EF70E1">
        <w:rPr>
          <w:rFonts w:ascii="Gambria" w:hAnsi="Gambria" w:cs="Arial"/>
          <w:sz w:val="22"/>
          <w:szCs w:val="22"/>
        </w:rPr>
        <w:t>poistenému</w:t>
      </w:r>
      <w:r w:rsidRPr="00EF70E1">
        <w:rPr>
          <w:rFonts w:ascii="Gambria" w:hAnsi="Gambria" w:cs="Arial"/>
          <w:spacing w:val="-1"/>
          <w:w w:val="99"/>
          <w:sz w:val="22"/>
          <w:szCs w:val="22"/>
        </w:rPr>
        <w:t xml:space="preserve"> </w:t>
      </w:r>
      <w:r w:rsidRPr="00EF70E1">
        <w:rPr>
          <w:rFonts w:ascii="Gambria" w:hAnsi="Gambria" w:cs="Arial"/>
          <w:sz w:val="22"/>
          <w:szCs w:val="22"/>
        </w:rPr>
        <w:t xml:space="preserve">zapožičané na základe písomnej </w:t>
      </w:r>
      <w:r w:rsidRPr="00EF70E1">
        <w:rPr>
          <w:rFonts w:ascii="Gambria" w:hAnsi="Gambria" w:cs="Arial"/>
          <w:spacing w:val="-32"/>
          <w:sz w:val="22"/>
          <w:szCs w:val="22"/>
        </w:rPr>
        <w:t xml:space="preserve"> </w:t>
      </w:r>
      <w:r w:rsidRPr="00EF70E1">
        <w:rPr>
          <w:rFonts w:ascii="Gambria" w:hAnsi="Gambria" w:cs="Arial"/>
          <w:sz w:val="22"/>
          <w:szCs w:val="22"/>
        </w:rPr>
        <w:t>zmluvy.</w:t>
      </w:r>
    </w:p>
    <w:p w14:paraId="34B7D7F8"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Odborná</w:t>
      </w:r>
      <w:r w:rsidRPr="00EF70E1">
        <w:rPr>
          <w:rFonts w:ascii="Gambria" w:hAnsi="Gambria" w:cs="Arial"/>
          <w:spacing w:val="38"/>
          <w:sz w:val="22"/>
          <w:szCs w:val="22"/>
        </w:rPr>
        <w:t xml:space="preserve"> </w:t>
      </w:r>
      <w:r w:rsidRPr="00EF70E1">
        <w:rPr>
          <w:rFonts w:ascii="Gambria" w:hAnsi="Gambria" w:cs="Arial"/>
          <w:sz w:val="22"/>
          <w:szCs w:val="22"/>
        </w:rPr>
        <w:t>evidencia</w:t>
      </w:r>
      <w:r w:rsidRPr="00EF70E1">
        <w:rPr>
          <w:rFonts w:ascii="Gambria" w:hAnsi="Gambria" w:cs="Arial"/>
          <w:spacing w:val="38"/>
          <w:sz w:val="22"/>
          <w:szCs w:val="22"/>
        </w:rPr>
        <w:t xml:space="preserve"> </w:t>
      </w:r>
      <w:r w:rsidRPr="00EF70E1">
        <w:rPr>
          <w:rFonts w:ascii="Gambria" w:hAnsi="Gambria" w:cs="Arial"/>
          <w:sz w:val="22"/>
          <w:szCs w:val="22"/>
        </w:rPr>
        <w:t>zbierkových</w:t>
      </w:r>
      <w:r w:rsidRPr="00EF70E1">
        <w:rPr>
          <w:rFonts w:ascii="Gambria" w:hAnsi="Gambria" w:cs="Arial"/>
          <w:spacing w:val="38"/>
          <w:sz w:val="22"/>
          <w:szCs w:val="22"/>
        </w:rPr>
        <w:t xml:space="preserve"> </w:t>
      </w:r>
      <w:r w:rsidRPr="00EF70E1">
        <w:rPr>
          <w:rFonts w:ascii="Gambria" w:hAnsi="Gambria" w:cs="Arial"/>
          <w:sz w:val="22"/>
          <w:szCs w:val="22"/>
        </w:rPr>
        <w:t>predmetov</w:t>
      </w:r>
      <w:r w:rsidRPr="00EF70E1">
        <w:rPr>
          <w:rFonts w:ascii="Gambria" w:hAnsi="Gambria" w:cs="Arial"/>
          <w:spacing w:val="38"/>
          <w:sz w:val="22"/>
          <w:szCs w:val="22"/>
        </w:rPr>
        <w:t xml:space="preserve"> </w:t>
      </w:r>
      <w:r w:rsidRPr="00EF70E1">
        <w:rPr>
          <w:rFonts w:ascii="Gambria" w:hAnsi="Gambria" w:cs="Arial"/>
          <w:sz w:val="22"/>
          <w:szCs w:val="22"/>
        </w:rPr>
        <w:t>sa</w:t>
      </w:r>
      <w:r w:rsidRPr="00EF70E1">
        <w:rPr>
          <w:rFonts w:ascii="Gambria" w:hAnsi="Gambria" w:cs="Arial"/>
          <w:spacing w:val="38"/>
          <w:sz w:val="22"/>
          <w:szCs w:val="22"/>
        </w:rPr>
        <w:t xml:space="preserve"> </w:t>
      </w:r>
      <w:r w:rsidRPr="00EF70E1">
        <w:rPr>
          <w:rFonts w:ascii="Gambria" w:hAnsi="Gambria" w:cs="Arial"/>
          <w:sz w:val="22"/>
          <w:szCs w:val="22"/>
        </w:rPr>
        <w:t>vedie</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spacing w:val="38"/>
          <w:sz w:val="22"/>
          <w:szCs w:val="22"/>
        </w:rPr>
        <w:t xml:space="preserve"> </w:t>
      </w:r>
      <w:r w:rsidRPr="00EF70E1">
        <w:rPr>
          <w:rFonts w:ascii="Gambria" w:hAnsi="Gambria" w:cs="Arial"/>
          <w:sz w:val="22"/>
          <w:szCs w:val="22"/>
        </w:rPr>
        <w:t>prírastkov</w:t>
      </w:r>
      <w:r w:rsidRPr="00EF70E1">
        <w:rPr>
          <w:rFonts w:ascii="Gambria" w:hAnsi="Gambria" w:cs="Arial"/>
          <w:spacing w:val="38"/>
          <w:sz w:val="22"/>
          <w:szCs w:val="22"/>
        </w:rPr>
        <w:t xml:space="preserve"> </w:t>
      </w:r>
      <w:r w:rsidRPr="00EF70E1">
        <w:rPr>
          <w:rFonts w:ascii="Gambria" w:hAnsi="Gambria" w:cs="Arial"/>
          <w:sz w:val="22"/>
          <w:szCs w:val="22"/>
        </w:rPr>
        <w:t>-</w:t>
      </w:r>
      <w:r w:rsidRPr="00EF70E1">
        <w:rPr>
          <w:rFonts w:ascii="Gambria" w:hAnsi="Gambria" w:cs="Arial"/>
          <w:spacing w:val="42"/>
          <w:sz w:val="22"/>
          <w:szCs w:val="22"/>
        </w:rPr>
        <w:t xml:space="preserve"> </w:t>
      </w:r>
      <w:r w:rsidRPr="00EF70E1">
        <w:rPr>
          <w:rFonts w:ascii="Gambria" w:hAnsi="Gambria" w:cs="Arial"/>
          <w:sz w:val="22"/>
          <w:szCs w:val="22"/>
        </w:rPr>
        <w:t>1.</w:t>
      </w:r>
      <w:r w:rsidRPr="00EF70E1">
        <w:rPr>
          <w:rFonts w:ascii="Gambria" w:hAnsi="Gambria" w:cs="Arial"/>
          <w:spacing w:val="39"/>
          <w:sz w:val="22"/>
          <w:szCs w:val="22"/>
        </w:rPr>
        <w:t xml:space="preserve"> </w:t>
      </w:r>
      <w:r w:rsidRPr="00EF70E1">
        <w:rPr>
          <w:rFonts w:ascii="Gambria" w:hAnsi="Gambria" w:cs="Arial"/>
          <w:sz w:val="22"/>
          <w:szCs w:val="22"/>
        </w:rPr>
        <w:t>stupeň.</w:t>
      </w:r>
      <w:r w:rsidRPr="00EF70E1">
        <w:rPr>
          <w:rFonts w:ascii="Gambria" w:hAnsi="Gambria" w:cs="Arial"/>
          <w:spacing w:val="39"/>
          <w:sz w:val="22"/>
          <w:szCs w:val="22"/>
        </w:rPr>
        <w:t xml:space="preserve"> </w:t>
      </w:r>
      <w:r w:rsidRPr="00EF70E1">
        <w:rPr>
          <w:rFonts w:ascii="Gambria" w:hAnsi="Gambria" w:cs="Arial"/>
          <w:sz w:val="22"/>
          <w:szCs w:val="22"/>
        </w:rPr>
        <w:t>Záznamy</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w w:val="99"/>
          <w:sz w:val="22"/>
          <w:szCs w:val="22"/>
        </w:rPr>
        <w:t xml:space="preserve"> </w:t>
      </w:r>
      <w:r w:rsidRPr="00EF70E1">
        <w:rPr>
          <w:rFonts w:ascii="Gambria" w:hAnsi="Gambria" w:cs="Arial"/>
          <w:sz w:val="22"/>
          <w:szCs w:val="22"/>
        </w:rPr>
        <w:t xml:space="preserve">prírastkov obsahujú tieto </w:t>
      </w:r>
      <w:r w:rsidRPr="00EF70E1">
        <w:rPr>
          <w:rFonts w:ascii="Gambria" w:hAnsi="Gambria" w:cs="Arial"/>
          <w:spacing w:val="-38"/>
          <w:sz w:val="22"/>
          <w:szCs w:val="22"/>
        </w:rPr>
        <w:t xml:space="preserve"> </w:t>
      </w:r>
      <w:r w:rsidRPr="00EF70E1">
        <w:rPr>
          <w:rFonts w:ascii="Gambria" w:hAnsi="Gambria" w:cs="Arial"/>
          <w:sz w:val="22"/>
          <w:szCs w:val="22"/>
        </w:rPr>
        <w:t xml:space="preserve">údaje: </w:t>
      </w:r>
    </w:p>
    <w:p w14:paraId="0BE50323"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prírastkové</w:t>
      </w:r>
      <w:r w:rsidRPr="00EF70E1">
        <w:rPr>
          <w:rFonts w:ascii="Gambria" w:hAnsi="Gambria" w:cs="Arial"/>
          <w:spacing w:val="-18"/>
          <w:sz w:val="22"/>
          <w:szCs w:val="22"/>
        </w:rPr>
        <w:t xml:space="preserve"> </w:t>
      </w:r>
      <w:r w:rsidRPr="00EF70E1">
        <w:rPr>
          <w:rFonts w:ascii="Gambria" w:hAnsi="Gambria" w:cs="Arial"/>
          <w:sz w:val="22"/>
          <w:szCs w:val="22"/>
        </w:rPr>
        <w:t>číslo,</w:t>
      </w:r>
    </w:p>
    <w:p w14:paraId="6BB61879"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evidenčné</w:t>
      </w:r>
      <w:r w:rsidRPr="00EF70E1">
        <w:rPr>
          <w:rFonts w:ascii="Gambria" w:hAnsi="Gambria" w:cs="Arial"/>
          <w:spacing w:val="-14"/>
          <w:sz w:val="22"/>
          <w:szCs w:val="22"/>
        </w:rPr>
        <w:t xml:space="preserve"> </w:t>
      </w:r>
      <w:r w:rsidRPr="00EF70E1">
        <w:rPr>
          <w:rFonts w:ascii="Gambria" w:hAnsi="Gambria" w:cs="Arial"/>
          <w:sz w:val="22"/>
          <w:szCs w:val="22"/>
        </w:rPr>
        <w:t>číslo,</w:t>
      </w:r>
    </w:p>
    <w:p w14:paraId="43D5D417"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názov</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stručný</w:t>
      </w:r>
      <w:r w:rsidRPr="00EF70E1">
        <w:rPr>
          <w:rFonts w:ascii="Gambria" w:hAnsi="Gambria" w:cs="Arial"/>
          <w:spacing w:val="-8"/>
          <w:sz w:val="22"/>
          <w:szCs w:val="22"/>
        </w:rPr>
        <w:t xml:space="preserve"> </w:t>
      </w:r>
      <w:r w:rsidRPr="00EF70E1">
        <w:rPr>
          <w:rFonts w:ascii="Gambria" w:hAnsi="Gambria" w:cs="Arial"/>
          <w:sz w:val="22"/>
          <w:szCs w:val="22"/>
        </w:rPr>
        <w:t>opis</w:t>
      </w:r>
      <w:r w:rsidRPr="00EF70E1">
        <w:rPr>
          <w:rFonts w:ascii="Gambria" w:hAnsi="Gambria" w:cs="Arial"/>
          <w:spacing w:val="-8"/>
          <w:sz w:val="22"/>
          <w:szCs w:val="22"/>
        </w:rPr>
        <w:t xml:space="preserve"> </w:t>
      </w:r>
      <w:r w:rsidRPr="00EF70E1">
        <w:rPr>
          <w:rFonts w:ascii="Gambria" w:hAnsi="Gambria" w:cs="Arial"/>
          <w:sz w:val="22"/>
          <w:szCs w:val="22"/>
        </w:rPr>
        <w:t>zb.</w:t>
      </w:r>
      <w:r w:rsidRPr="00EF70E1">
        <w:rPr>
          <w:rFonts w:ascii="Gambria" w:hAnsi="Gambria" w:cs="Arial"/>
          <w:spacing w:val="-8"/>
          <w:sz w:val="22"/>
          <w:szCs w:val="22"/>
        </w:rPr>
        <w:t xml:space="preserve"> </w:t>
      </w:r>
      <w:r w:rsidRPr="00EF70E1">
        <w:rPr>
          <w:rFonts w:ascii="Gambria" w:hAnsi="Gambria" w:cs="Arial"/>
          <w:sz w:val="22"/>
          <w:szCs w:val="22"/>
        </w:rPr>
        <w:t>predmetu,</w:t>
      </w:r>
    </w:p>
    <w:p w14:paraId="7D365330"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dátum vzniku, počet</w:t>
      </w:r>
      <w:r w:rsidRPr="00EF70E1">
        <w:rPr>
          <w:rFonts w:ascii="Gambria" w:hAnsi="Gambria" w:cs="Arial"/>
          <w:spacing w:val="-22"/>
          <w:sz w:val="22"/>
          <w:szCs w:val="22"/>
        </w:rPr>
        <w:t xml:space="preserve"> </w:t>
      </w:r>
      <w:r w:rsidRPr="00EF70E1">
        <w:rPr>
          <w:rFonts w:ascii="Gambria" w:hAnsi="Gambria" w:cs="Arial"/>
          <w:sz w:val="22"/>
          <w:szCs w:val="22"/>
        </w:rPr>
        <w:t>kusov,</w:t>
      </w:r>
    </w:p>
    <w:p w14:paraId="28225AAA"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miesto</w:t>
      </w:r>
      <w:r w:rsidRPr="00EF70E1">
        <w:rPr>
          <w:rFonts w:ascii="Gambria" w:hAnsi="Gambria" w:cs="Arial"/>
          <w:spacing w:val="-15"/>
          <w:sz w:val="22"/>
          <w:szCs w:val="22"/>
        </w:rPr>
        <w:t xml:space="preserve"> </w:t>
      </w:r>
      <w:r w:rsidRPr="00EF70E1">
        <w:rPr>
          <w:rFonts w:ascii="Gambria" w:hAnsi="Gambria" w:cs="Arial"/>
          <w:sz w:val="22"/>
          <w:szCs w:val="22"/>
        </w:rPr>
        <w:t>nálezu,</w:t>
      </w:r>
    </w:p>
    <w:p w14:paraId="48FCF9E8"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dátum</w:t>
      </w:r>
      <w:r w:rsidRPr="00EF70E1">
        <w:rPr>
          <w:rFonts w:ascii="Gambria" w:hAnsi="Gambria" w:cs="Arial"/>
          <w:spacing w:val="-28"/>
          <w:sz w:val="22"/>
          <w:szCs w:val="22"/>
        </w:rPr>
        <w:t xml:space="preserve"> </w:t>
      </w:r>
      <w:r w:rsidRPr="00EF70E1">
        <w:rPr>
          <w:rFonts w:ascii="Gambria" w:hAnsi="Gambria" w:cs="Arial"/>
          <w:sz w:val="22"/>
          <w:szCs w:val="22"/>
        </w:rPr>
        <w:t>nadobudnutia,</w:t>
      </w:r>
    </w:p>
    <w:p w14:paraId="2C0C246E"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spôsob</w:t>
      </w:r>
      <w:r w:rsidRPr="00EF70E1">
        <w:rPr>
          <w:rFonts w:ascii="Gambria" w:hAnsi="Gambria" w:cs="Arial"/>
          <w:spacing w:val="-24"/>
          <w:sz w:val="22"/>
          <w:szCs w:val="22"/>
        </w:rPr>
        <w:t xml:space="preserve"> </w:t>
      </w:r>
      <w:r w:rsidRPr="00EF70E1">
        <w:rPr>
          <w:rFonts w:ascii="Gambria" w:hAnsi="Gambria" w:cs="Arial"/>
          <w:sz w:val="22"/>
          <w:szCs w:val="22"/>
        </w:rPr>
        <w:t>nadobudnutia,</w:t>
      </w:r>
    </w:p>
    <w:p w14:paraId="68DE600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názov</w:t>
      </w:r>
      <w:r w:rsidRPr="00EF70E1">
        <w:rPr>
          <w:rFonts w:ascii="Gambria" w:hAnsi="Gambria" w:cs="Arial"/>
          <w:spacing w:val="-9"/>
          <w:sz w:val="22"/>
          <w:szCs w:val="22"/>
        </w:rPr>
        <w:t xml:space="preserve"> </w:t>
      </w:r>
      <w:r w:rsidRPr="00EF70E1">
        <w:rPr>
          <w:rFonts w:ascii="Gambria" w:hAnsi="Gambria" w:cs="Arial"/>
          <w:sz w:val="22"/>
          <w:szCs w:val="22"/>
        </w:rPr>
        <w:t>a</w:t>
      </w:r>
      <w:r w:rsidRPr="00EF70E1">
        <w:rPr>
          <w:rFonts w:ascii="Gambria" w:hAnsi="Gambria" w:cs="Arial"/>
          <w:spacing w:val="-9"/>
          <w:sz w:val="22"/>
          <w:szCs w:val="22"/>
        </w:rPr>
        <w:t xml:space="preserve"> </w:t>
      </w:r>
      <w:r w:rsidRPr="00EF70E1">
        <w:rPr>
          <w:rFonts w:ascii="Gambria" w:hAnsi="Gambria" w:cs="Arial"/>
          <w:sz w:val="22"/>
          <w:szCs w:val="22"/>
        </w:rPr>
        <w:t>číslo</w:t>
      </w:r>
      <w:r w:rsidRPr="00EF70E1">
        <w:rPr>
          <w:rFonts w:ascii="Gambria" w:hAnsi="Gambria" w:cs="Arial"/>
          <w:spacing w:val="-9"/>
          <w:sz w:val="22"/>
          <w:szCs w:val="22"/>
        </w:rPr>
        <w:t xml:space="preserve"> </w:t>
      </w:r>
      <w:r w:rsidRPr="00EF70E1">
        <w:rPr>
          <w:rFonts w:ascii="Gambria" w:hAnsi="Gambria" w:cs="Arial"/>
          <w:sz w:val="22"/>
          <w:szCs w:val="22"/>
        </w:rPr>
        <w:t>dokladu</w:t>
      </w:r>
      <w:r w:rsidRPr="00EF70E1">
        <w:rPr>
          <w:rFonts w:ascii="Gambria" w:hAnsi="Gambria" w:cs="Arial"/>
          <w:spacing w:val="-9"/>
          <w:sz w:val="22"/>
          <w:szCs w:val="22"/>
        </w:rPr>
        <w:t xml:space="preserve"> </w:t>
      </w:r>
      <w:r w:rsidRPr="00EF70E1">
        <w:rPr>
          <w:rFonts w:ascii="Gambria" w:hAnsi="Gambria" w:cs="Arial"/>
          <w:sz w:val="22"/>
          <w:szCs w:val="22"/>
        </w:rPr>
        <w:t>o</w:t>
      </w:r>
      <w:r w:rsidRPr="00EF70E1">
        <w:rPr>
          <w:rFonts w:ascii="Gambria" w:hAnsi="Gambria" w:cs="Arial"/>
          <w:spacing w:val="-9"/>
          <w:sz w:val="22"/>
          <w:szCs w:val="22"/>
        </w:rPr>
        <w:t xml:space="preserve"> </w:t>
      </w:r>
      <w:r w:rsidRPr="00EF70E1">
        <w:rPr>
          <w:rFonts w:ascii="Gambria" w:hAnsi="Gambria" w:cs="Arial"/>
          <w:sz w:val="22"/>
          <w:szCs w:val="22"/>
        </w:rPr>
        <w:t>nadobudnutí,</w:t>
      </w:r>
    </w:p>
    <w:p w14:paraId="3617FFF5"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identifikačné</w:t>
      </w:r>
      <w:r w:rsidRPr="00EF70E1">
        <w:rPr>
          <w:rFonts w:ascii="Gambria" w:hAnsi="Gambria" w:cs="Arial"/>
          <w:spacing w:val="-11"/>
          <w:sz w:val="22"/>
          <w:szCs w:val="22"/>
        </w:rPr>
        <w:t xml:space="preserve"> </w:t>
      </w:r>
      <w:r w:rsidRPr="00EF70E1">
        <w:rPr>
          <w:rFonts w:ascii="Gambria" w:hAnsi="Gambria" w:cs="Arial"/>
          <w:sz w:val="22"/>
          <w:szCs w:val="22"/>
        </w:rPr>
        <w:t>údaje</w:t>
      </w:r>
      <w:r w:rsidRPr="00EF70E1">
        <w:rPr>
          <w:rFonts w:ascii="Gambria" w:hAnsi="Gambria" w:cs="Arial"/>
          <w:spacing w:val="-11"/>
          <w:sz w:val="22"/>
          <w:szCs w:val="22"/>
        </w:rPr>
        <w:t xml:space="preserve"> </w:t>
      </w:r>
      <w:r w:rsidRPr="00EF70E1">
        <w:rPr>
          <w:rFonts w:ascii="Gambria" w:hAnsi="Gambria" w:cs="Arial"/>
          <w:sz w:val="22"/>
          <w:szCs w:val="22"/>
        </w:rPr>
        <w:t>o</w:t>
      </w:r>
      <w:r w:rsidRPr="00EF70E1">
        <w:rPr>
          <w:rFonts w:ascii="Gambria" w:hAnsi="Gambria" w:cs="Arial"/>
          <w:spacing w:val="-11"/>
          <w:sz w:val="22"/>
          <w:szCs w:val="22"/>
        </w:rPr>
        <w:t xml:space="preserve"> </w:t>
      </w:r>
      <w:r w:rsidRPr="00EF70E1">
        <w:rPr>
          <w:rFonts w:ascii="Gambria" w:hAnsi="Gambria" w:cs="Arial"/>
          <w:sz w:val="22"/>
          <w:szCs w:val="22"/>
        </w:rPr>
        <w:t>predchádzajúcom</w:t>
      </w:r>
      <w:r w:rsidRPr="00EF70E1">
        <w:rPr>
          <w:rFonts w:ascii="Gambria" w:hAnsi="Gambria" w:cs="Arial"/>
          <w:spacing w:val="-10"/>
          <w:sz w:val="22"/>
          <w:szCs w:val="22"/>
        </w:rPr>
        <w:t xml:space="preserve"> </w:t>
      </w:r>
      <w:r w:rsidRPr="00EF70E1">
        <w:rPr>
          <w:rFonts w:ascii="Gambria" w:hAnsi="Gambria" w:cs="Arial"/>
          <w:sz w:val="22"/>
          <w:szCs w:val="22"/>
        </w:rPr>
        <w:t>vlastníkovi</w:t>
      </w:r>
      <w:r w:rsidRPr="00EF70E1">
        <w:rPr>
          <w:rFonts w:ascii="Gambria" w:hAnsi="Gambria" w:cs="Arial"/>
          <w:spacing w:val="-11"/>
          <w:sz w:val="22"/>
          <w:szCs w:val="22"/>
        </w:rPr>
        <w:t xml:space="preserve"> </w:t>
      </w:r>
      <w:r w:rsidRPr="00EF70E1">
        <w:rPr>
          <w:rFonts w:ascii="Gambria" w:hAnsi="Gambria" w:cs="Arial"/>
          <w:sz w:val="22"/>
          <w:szCs w:val="22"/>
        </w:rPr>
        <w:t>alebo</w:t>
      </w:r>
      <w:r w:rsidRPr="00EF70E1">
        <w:rPr>
          <w:rFonts w:ascii="Gambria" w:hAnsi="Gambria" w:cs="Arial"/>
          <w:spacing w:val="-11"/>
          <w:sz w:val="22"/>
          <w:szCs w:val="22"/>
        </w:rPr>
        <w:t xml:space="preserve"> </w:t>
      </w:r>
      <w:r w:rsidRPr="00EF70E1">
        <w:rPr>
          <w:rFonts w:ascii="Gambria" w:hAnsi="Gambria" w:cs="Arial"/>
          <w:sz w:val="22"/>
          <w:szCs w:val="22"/>
        </w:rPr>
        <w:t>správcovi,</w:t>
      </w:r>
    </w:p>
    <w:p w14:paraId="51C3320B"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45"/>
          <w:sz w:val="22"/>
          <w:szCs w:val="22"/>
        </w:rPr>
        <w:t xml:space="preserve"> </w:t>
      </w:r>
      <w:r w:rsidRPr="00EF70E1">
        <w:rPr>
          <w:rFonts w:ascii="Gambria" w:hAnsi="Gambria" w:cs="Arial"/>
          <w:sz w:val="22"/>
          <w:szCs w:val="22"/>
        </w:rPr>
        <w:t>a</w:t>
      </w:r>
      <w:r w:rsidRPr="00EF70E1">
        <w:rPr>
          <w:rFonts w:ascii="Gambria" w:hAnsi="Gambria" w:cs="Arial"/>
          <w:spacing w:val="45"/>
          <w:sz w:val="22"/>
          <w:szCs w:val="22"/>
        </w:rPr>
        <w:t xml:space="preserve"> </w:t>
      </w:r>
      <w:r w:rsidRPr="00EF70E1">
        <w:rPr>
          <w:rFonts w:ascii="Gambria" w:hAnsi="Gambria" w:cs="Arial"/>
          <w:sz w:val="22"/>
          <w:szCs w:val="22"/>
        </w:rPr>
        <w:t>priezvisko</w:t>
      </w:r>
      <w:r w:rsidRPr="00EF70E1">
        <w:rPr>
          <w:rFonts w:ascii="Gambria" w:hAnsi="Gambria" w:cs="Arial"/>
          <w:spacing w:val="45"/>
          <w:sz w:val="22"/>
          <w:szCs w:val="22"/>
        </w:rPr>
        <w:t xml:space="preserve"> </w:t>
      </w:r>
      <w:r w:rsidRPr="00EF70E1">
        <w:rPr>
          <w:rFonts w:ascii="Gambria" w:hAnsi="Gambria" w:cs="Arial"/>
          <w:sz w:val="22"/>
          <w:szCs w:val="22"/>
        </w:rPr>
        <w:t>odborného</w:t>
      </w:r>
      <w:r w:rsidRPr="00EF70E1">
        <w:rPr>
          <w:rFonts w:ascii="Gambria" w:hAnsi="Gambria" w:cs="Arial"/>
          <w:spacing w:val="45"/>
          <w:sz w:val="22"/>
          <w:szCs w:val="22"/>
        </w:rPr>
        <w:t xml:space="preserve"> </w:t>
      </w:r>
      <w:r w:rsidRPr="00EF70E1">
        <w:rPr>
          <w:rFonts w:ascii="Gambria" w:hAnsi="Gambria" w:cs="Arial"/>
          <w:sz w:val="22"/>
          <w:szCs w:val="22"/>
        </w:rPr>
        <w:t>zamestnanca,</w:t>
      </w:r>
      <w:r w:rsidRPr="00EF70E1">
        <w:rPr>
          <w:rFonts w:ascii="Gambria" w:hAnsi="Gambria" w:cs="Arial"/>
          <w:spacing w:val="45"/>
          <w:sz w:val="22"/>
          <w:szCs w:val="22"/>
        </w:rPr>
        <w:t xml:space="preserve"> </w:t>
      </w:r>
      <w:r w:rsidRPr="00EF70E1">
        <w:rPr>
          <w:rFonts w:ascii="Gambria" w:hAnsi="Gambria" w:cs="Arial"/>
          <w:sz w:val="22"/>
          <w:szCs w:val="22"/>
        </w:rPr>
        <w:t>ktorý</w:t>
      </w:r>
      <w:r w:rsidRPr="00EF70E1">
        <w:rPr>
          <w:rFonts w:ascii="Gambria" w:hAnsi="Gambria" w:cs="Arial"/>
          <w:spacing w:val="3"/>
          <w:sz w:val="22"/>
          <w:szCs w:val="22"/>
        </w:rPr>
        <w:t xml:space="preserve"> </w:t>
      </w:r>
      <w:r w:rsidRPr="00EF70E1">
        <w:rPr>
          <w:rFonts w:ascii="Gambria" w:hAnsi="Gambria" w:cs="Arial"/>
          <w:sz w:val="22"/>
          <w:szCs w:val="22"/>
        </w:rPr>
        <w:t>zbierkový</w:t>
      </w:r>
      <w:r w:rsidRPr="00EF70E1">
        <w:rPr>
          <w:rFonts w:ascii="Gambria" w:hAnsi="Gambria" w:cs="Arial"/>
          <w:spacing w:val="45"/>
          <w:sz w:val="22"/>
          <w:szCs w:val="22"/>
        </w:rPr>
        <w:t xml:space="preserve"> </w:t>
      </w:r>
      <w:r w:rsidRPr="00EF70E1">
        <w:rPr>
          <w:rFonts w:ascii="Gambria" w:hAnsi="Gambria" w:cs="Arial"/>
          <w:sz w:val="22"/>
          <w:szCs w:val="22"/>
        </w:rPr>
        <w:t>predmet</w:t>
      </w:r>
      <w:r w:rsidRPr="00EF70E1">
        <w:rPr>
          <w:rFonts w:ascii="Gambria" w:hAnsi="Gambria" w:cs="Arial"/>
          <w:spacing w:val="45"/>
          <w:sz w:val="22"/>
          <w:szCs w:val="22"/>
        </w:rPr>
        <w:t xml:space="preserve"> </w:t>
      </w:r>
      <w:r w:rsidRPr="00EF70E1">
        <w:rPr>
          <w:rFonts w:ascii="Gambria" w:hAnsi="Gambria" w:cs="Arial"/>
          <w:sz w:val="22"/>
          <w:szCs w:val="22"/>
        </w:rPr>
        <w:t>navrhol</w:t>
      </w:r>
      <w:r w:rsidRPr="00EF70E1">
        <w:rPr>
          <w:rFonts w:ascii="Gambria" w:hAnsi="Gambria" w:cs="Arial"/>
          <w:spacing w:val="45"/>
          <w:sz w:val="22"/>
          <w:szCs w:val="22"/>
        </w:rPr>
        <w:t xml:space="preserve"> </w:t>
      </w:r>
      <w:r w:rsidRPr="00EF70E1">
        <w:rPr>
          <w:rFonts w:ascii="Gambria" w:hAnsi="Gambria" w:cs="Arial"/>
          <w:sz w:val="22"/>
          <w:szCs w:val="22"/>
        </w:rPr>
        <w:t>na</w:t>
      </w:r>
      <w:r w:rsidRPr="00EF70E1">
        <w:rPr>
          <w:rFonts w:ascii="Gambria" w:hAnsi="Gambria" w:cs="Arial"/>
          <w:spacing w:val="45"/>
          <w:sz w:val="22"/>
          <w:szCs w:val="22"/>
        </w:rPr>
        <w:t xml:space="preserve"> </w:t>
      </w:r>
      <w:r w:rsidRPr="00EF70E1">
        <w:rPr>
          <w:rFonts w:ascii="Gambria" w:hAnsi="Gambria" w:cs="Arial"/>
          <w:sz w:val="22"/>
          <w:szCs w:val="22"/>
        </w:rPr>
        <w:t>nadobudnutie</w:t>
      </w:r>
      <w:r w:rsidRPr="00EF70E1">
        <w:rPr>
          <w:rFonts w:ascii="Gambria" w:hAnsi="Gambria" w:cs="Arial"/>
          <w:spacing w:val="45"/>
          <w:sz w:val="22"/>
          <w:szCs w:val="22"/>
        </w:rPr>
        <w:t xml:space="preserve"> </w:t>
      </w:r>
      <w:r w:rsidRPr="00EF70E1">
        <w:rPr>
          <w:rFonts w:ascii="Gambria" w:hAnsi="Gambria" w:cs="Arial"/>
          <w:sz w:val="22"/>
          <w:szCs w:val="22"/>
        </w:rPr>
        <w:t>alebo</w:t>
      </w:r>
      <w:r w:rsidRPr="00EF70E1">
        <w:rPr>
          <w:rFonts w:ascii="Gambria" w:hAnsi="Gambria" w:cs="Arial"/>
          <w:spacing w:val="46"/>
          <w:sz w:val="22"/>
          <w:szCs w:val="22"/>
        </w:rPr>
        <w:t xml:space="preserve"> </w:t>
      </w:r>
      <w:r w:rsidRPr="00EF70E1">
        <w:rPr>
          <w:rFonts w:ascii="Gambria" w:hAnsi="Gambria" w:cs="Arial"/>
          <w:sz w:val="22"/>
          <w:szCs w:val="22"/>
        </w:rPr>
        <w:t>ktor</w:t>
      </w:r>
      <w:r w:rsidRPr="00EF70E1">
        <w:rPr>
          <w:rFonts w:ascii="Gambria" w:hAnsi="Gambria" w:cs="Arial"/>
          <w:spacing w:val="-35"/>
          <w:sz w:val="22"/>
          <w:szCs w:val="22"/>
        </w:rPr>
        <w:t xml:space="preserve"> </w:t>
      </w:r>
      <w:r w:rsidRPr="00EF70E1">
        <w:rPr>
          <w:rFonts w:ascii="Gambria" w:hAnsi="Gambria" w:cs="Arial"/>
          <w:sz w:val="22"/>
          <w:szCs w:val="22"/>
        </w:rPr>
        <w:t>ý</w:t>
      </w:r>
      <w:r w:rsidRPr="00EF70E1">
        <w:rPr>
          <w:rFonts w:ascii="Gambria" w:hAnsi="Gambria" w:cs="Arial"/>
          <w:w w:val="99"/>
          <w:sz w:val="22"/>
          <w:szCs w:val="22"/>
        </w:rPr>
        <w:t xml:space="preserve"> </w:t>
      </w:r>
      <w:r w:rsidRPr="00EF70E1">
        <w:rPr>
          <w:rFonts w:ascii="Gambria" w:hAnsi="Gambria" w:cs="Arial"/>
          <w:sz w:val="22"/>
          <w:szCs w:val="22"/>
        </w:rPr>
        <w:t>zbierkový predmet získal</w:t>
      </w:r>
      <w:r w:rsidRPr="00EF70E1">
        <w:rPr>
          <w:rFonts w:ascii="Gambria" w:hAnsi="Gambria" w:cs="Arial"/>
          <w:spacing w:val="-24"/>
          <w:sz w:val="22"/>
          <w:szCs w:val="22"/>
        </w:rPr>
        <w:t xml:space="preserve"> </w:t>
      </w:r>
      <w:r w:rsidRPr="00EF70E1">
        <w:rPr>
          <w:rFonts w:ascii="Gambria" w:hAnsi="Gambria" w:cs="Arial"/>
          <w:sz w:val="22"/>
          <w:szCs w:val="22"/>
        </w:rPr>
        <w:t>výskumom,</w:t>
      </w:r>
    </w:p>
    <w:p w14:paraId="4863BA3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priezvisko</w:t>
      </w:r>
      <w:r w:rsidRPr="00EF70E1">
        <w:rPr>
          <w:rFonts w:ascii="Gambria" w:hAnsi="Gambria" w:cs="Arial"/>
          <w:spacing w:val="-7"/>
          <w:sz w:val="22"/>
          <w:szCs w:val="22"/>
        </w:rPr>
        <w:t xml:space="preserve"> </w:t>
      </w:r>
      <w:r w:rsidRPr="00EF70E1">
        <w:rPr>
          <w:rFonts w:ascii="Gambria" w:hAnsi="Gambria" w:cs="Arial"/>
          <w:sz w:val="22"/>
          <w:szCs w:val="22"/>
        </w:rPr>
        <w:t>odborného</w:t>
      </w:r>
      <w:r w:rsidRPr="00EF70E1">
        <w:rPr>
          <w:rFonts w:ascii="Gambria" w:hAnsi="Gambria" w:cs="Arial"/>
          <w:spacing w:val="-8"/>
          <w:sz w:val="22"/>
          <w:szCs w:val="22"/>
        </w:rPr>
        <w:t xml:space="preserve"> </w:t>
      </w:r>
      <w:r w:rsidRPr="00EF70E1">
        <w:rPr>
          <w:rFonts w:ascii="Gambria" w:hAnsi="Gambria" w:cs="Arial"/>
          <w:sz w:val="22"/>
          <w:szCs w:val="22"/>
        </w:rPr>
        <w:t>zamestnanca,</w:t>
      </w:r>
      <w:r w:rsidRPr="00EF70E1">
        <w:rPr>
          <w:rFonts w:ascii="Gambria" w:hAnsi="Gambria" w:cs="Arial"/>
          <w:spacing w:val="-8"/>
          <w:sz w:val="22"/>
          <w:szCs w:val="22"/>
        </w:rPr>
        <w:t xml:space="preserve"> </w:t>
      </w:r>
      <w:r w:rsidRPr="00EF70E1">
        <w:rPr>
          <w:rFonts w:ascii="Gambria" w:hAnsi="Gambria" w:cs="Arial"/>
          <w:sz w:val="22"/>
          <w:szCs w:val="22"/>
        </w:rPr>
        <w:t>ktorý</w:t>
      </w:r>
      <w:r w:rsidRPr="00EF70E1">
        <w:rPr>
          <w:rFonts w:ascii="Gambria" w:hAnsi="Gambria" w:cs="Arial"/>
          <w:spacing w:val="-8"/>
          <w:sz w:val="22"/>
          <w:szCs w:val="22"/>
        </w:rPr>
        <w:t xml:space="preserve"> </w:t>
      </w:r>
      <w:r w:rsidRPr="00EF70E1">
        <w:rPr>
          <w:rFonts w:ascii="Gambria" w:hAnsi="Gambria" w:cs="Arial"/>
          <w:sz w:val="22"/>
          <w:szCs w:val="22"/>
        </w:rPr>
        <w:t>zbierkový</w:t>
      </w:r>
      <w:r w:rsidRPr="00EF70E1">
        <w:rPr>
          <w:rFonts w:ascii="Gambria" w:hAnsi="Gambria" w:cs="Arial"/>
          <w:spacing w:val="-8"/>
          <w:sz w:val="22"/>
          <w:szCs w:val="22"/>
        </w:rPr>
        <w:t xml:space="preserve"> </w:t>
      </w:r>
      <w:r w:rsidRPr="00EF70E1">
        <w:rPr>
          <w:rFonts w:ascii="Gambria" w:hAnsi="Gambria" w:cs="Arial"/>
          <w:sz w:val="22"/>
          <w:szCs w:val="22"/>
        </w:rPr>
        <w:t>predmet</w:t>
      </w:r>
      <w:r w:rsidRPr="00EF70E1">
        <w:rPr>
          <w:rFonts w:ascii="Gambria" w:hAnsi="Gambria" w:cs="Arial"/>
          <w:spacing w:val="-7"/>
          <w:sz w:val="22"/>
          <w:szCs w:val="22"/>
        </w:rPr>
        <w:t xml:space="preserve"> </w:t>
      </w:r>
      <w:r w:rsidRPr="00EF70E1">
        <w:rPr>
          <w:rFonts w:ascii="Gambria" w:hAnsi="Gambria" w:cs="Arial"/>
          <w:sz w:val="22"/>
          <w:szCs w:val="22"/>
        </w:rPr>
        <w:t>prevzal</w:t>
      </w:r>
      <w:r w:rsidRPr="00EF70E1">
        <w:rPr>
          <w:rFonts w:ascii="Gambria" w:hAnsi="Gambria" w:cs="Arial"/>
          <w:spacing w:val="-8"/>
          <w:sz w:val="22"/>
          <w:szCs w:val="22"/>
        </w:rPr>
        <w:t xml:space="preserve"> </w:t>
      </w:r>
      <w:r w:rsidRPr="00EF70E1">
        <w:rPr>
          <w:rFonts w:ascii="Gambria" w:hAnsi="Gambria" w:cs="Arial"/>
          <w:sz w:val="22"/>
          <w:szCs w:val="22"/>
        </w:rPr>
        <w:t>do</w:t>
      </w:r>
      <w:r w:rsidRPr="00EF70E1">
        <w:rPr>
          <w:rFonts w:ascii="Gambria" w:hAnsi="Gambria" w:cs="Arial"/>
          <w:spacing w:val="-8"/>
          <w:sz w:val="22"/>
          <w:szCs w:val="22"/>
        </w:rPr>
        <w:t xml:space="preserve"> </w:t>
      </w:r>
      <w:r w:rsidRPr="00EF70E1">
        <w:rPr>
          <w:rFonts w:ascii="Gambria" w:hAnsi="Gambria" w:cs="Arial"/>
          <w:sz w:val="22"/>
          <w:szCs w:val="22"/>
        </w:rPr>
        <w:t>zbierky,</w:t>
      </w:r>
    </w:p>
    <w:p w14:paraId="34ECCC18"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33"/>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priezvisko</w:t>
      </w:r>
      <w:r w:rsidRPr="00EF70E1">
        <w:rPr>
          <w:rFonts w:ascii="Gambria" w:hAnsi="Gambria" w:cs="Arial"/>
          <w:spacing w:val="34"/>
          <w:sz w:val="22"/>
          <w:szCs w:val="22"/>
        </w:rPr>
        <w:t xml:space="preserve"> </w:t>
      </w:r>
      <w:r w:rsidRPr="00EF70E1">
        <w:rPr>
          <w:rFonts w:ascii="Gambria" w:hAnsi="Gambria" w:cs="Arial"/>
          <w:sz w:val="22"/>
          <w:szCs w:val="22"/>
        </w:rPr>
        <w:t>odborného</w:t>
      </w:r>
      <w:r w:rsidRPr="00EF70E1">
        <w:rPr>
          <w:rFonts w:ascii="Gambria" w:hAnsi="Gambria" w:cs="Arial"/>
          <w:spacing w:val="34"/>
          <w:sz w:val="22"/>
          <w:szCs w:val="22"/>
        </w:rPr>
        <w:t xml:space="preserve"> </w:t>
      </w:r>
      <w:r w:rsidRPr="00EF70E1">
        <w:rPr>
          <w:rFonts w:ascii="Gambria" w:hAnsi="Gambria" w:cs="Arial"/>
          <w:sz w:val="22"/>
          <w:szCs w:val="22"/>
        </w:rPr>
        <w:t>zamestnanca,</w:t>
      </w:r>
      <w:r w:rsidRPr="00EF70E1">
        <w:rPr>
          <w:rFonts w:ascii="Gambria" w:hAnsi="Gambria" w:cs="Arial"/>
          <w:spacing w:val="34"/>
          <w:sz w:val="22"/>
          <w:szCs w:val="22"/>
        </w:rPr>
        <w:t xml:space="preserve"> </w:t>
      </w:r>
      <w:r w:rsidRPr="00EF70E1">
        <w:rPr>
          <w:rFonts w:ascii="Gambria" w:hAnsi="Gambria" w:cs="Arial"/>
          <w:sz w:val="22"/>
          <w:szCs w:val="22"/>
        </w:rPr>
        <w:t>ktorý</w:t>
      </w:r>
      <w:r w:rsidRPr="00EF70E1">
        <w:rPr>
          <w:rFonts w:ascii="Gambria" w:hAnsi="Gambria" w:cs="Arial"/>
          <w:spacing w:val="43"/>
          <w:sz w:val="22"/>
          <w:szCs w:val="22"/>
        </w:rPr>
        <w:t xml:space="preserve"> </w:t>
      </w:r>
      <w:r w:rsidRPr="00EF70E1">
        <w:rPr>
          <w:rFonts w:ascii="Gambria" w:hAnsi="Gambria" w:cs="Arial"/>
          <w:sz w:val="22"/>
          <w:szCs w:val="22"/>
        </w:rPr>
        <w:t>zbierkový</w:t>
      </w:r>
      <w:r w:rsidRPr="00EF70E1">
        <w:rPr>
          <w:rFonts w:ascii="Gambria" w:hAnsi="Gambria" w:cs="Arial"/>
          <w:spacing w:val="34"/>
          <w:sz w:val="22"/>
          <w:szCs w:val="22"/>
        </w:rPr>
        <w:t xml:space="preserve"> </w:t>
      </w:r>
      <w:r w:rsidRPr="00EF70E1">
        <w:rPr>
          <w:rFonts w:ascii="Gambria" w:hAnsi="Gambria" w:cs="Arial"/>
          <w:sz w:val="22"/>
          <w:szCs w:val="22"/>
        </w:rPr>
        <w:t>predmet</w:t>
      </w:r>
      <w:r w:rsidRPr="00EF70E1">
        <w:rPr>
          <w:rFonts w:ascii="Gambria" w:hAnsi="Gambria" w:cs="Arial"/>
          <w:spacing w:val="34"/>
          <w:sz w:val="22"/>
          <w:szCs w:val="22"/>
        </w:rPr>
        <w:t xml:space="preserve"> </w:t>
      </w:r>
      <w:r w:rsidRPr="00EF70E1">
        <w:rPr>
          <w:rFonts w:ascii="Gambria" w:hAnsi="Gambria" w:cs="Arial"/>
          <w:sz w:val="22"/>
          <w:szCs w:val="22"/>
        </w:rPr>
        <w:t>prevzal</w:t>
      </w:r>
      <w:r w:rsidRPr="00EF70E1">
        <w:rPr>
          <w:rFonts w:ascii="Gambria" w:hAnsi="Gambria" w:cs="Arial"/>
          <w:spacing w:val="34"/>
          <w:sz w:val="22"/>
          <w:szCs w:val="22"/>
        </w:rPr>
        <w:t xml:space="preserve"> </w:t>
      </w:r>
      <w:r w:rsidRPr="00EF70E1">
        <w:rPr>
          <w:rFonts w:ascii="Gambria" w:hAnsi="Gambria" w:cs="Arial"/>
          <w:sz w:val="22"/>
          <w:szCs w:val="22"/>
        </w:rPr>
        <w:t>do</w:t>
      </w:r>
      <w:r w:rsidRPr="00EF70E1">
        <w:rPr>
          <w:rFonts w:ascii="Gambria" w:hAnsi="Gambria" w:cs="Arial"/>
          <w:spacing w:val="34"/>
          <w:sz w:val="22"/>
          <w:szCs w:val="22"/>
        </w:rPr>
        <w:t xml:space="preserve"> </w:t>
      </w:r>
      <w:r w:rsidRPr="00EF70E1">
        <w:rPr>
          <w:rFonts w:ascii="Gambria" w:hAnsi="Gambria" w:cs="Arial"/>
          <w:sz w:val="22"/>
          <w:szCs w:val="22"/>
        </w:rPr>
        <w:t>depozitára</w:t>
      </w:r>
      <w:r w:rsidRPr="00EF70E1">
        <w:rPr>
          <w:rFonts w:ascii="Gambria" w:hAnsi="Gambria" w:cs="Arial"/>
          <w:spacing w:val="34"/>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dátum</w:t>
      </w:r>
      <w:r w:rsidRPr="00EF70E1">
        <w:rPr>
          <w:rFonts w:ascii="Gambria" w:hAnsi="Gambria" w:cs="Arial"/>
          <w:spacing w:val="-1"/>
          <w:w w:val="99"/>
          <w:sz w:val="22"/>
          <w:szCs w:val="22"/>
        </w:rPr>
        <w:t xml:space="preserve"> </w:t>
      </w:r>
      <w:r w:rsidRPr="00EF70E1">
        <w:rPr>
          <w:rFonts w:ascii="Gambria" w:hAnsi="Gambria" w:cs="Arial"/>
          <w:sz w:val="22"/>
          <w:szCs w:val="22"/>
        </w:rPr>
        <w:t>prevzatia,</w:t>
      </w:r>
    </w:p>
    <w:p w14:paraId="7B5E79F3"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lastRenderedPageBreak/>
        <w:t>meno a priezvisko odborného zamestnanca, ktorý je aktuálne zodpovedný za trvalé odborné</w:t>
      </w:r>
      <w:r w:rsidRPr="00EF70E1">
        <w:rPr>
          <w:rFonts w:ascii="Gambria" w:hAnsi="Gambria" w:cs="Arial"/>
          <w:spacing w:val="20"/>
          <w:sz w:val="22"/>
          <w:szCs w:val="22"/>
        </w:rPr>
        <w:t xml:space="preserve"> </w:t>
      </w:r>
      <w:r w:rsidRPr="00EF70E1">
        <w:rPr>
          <w:rFonts w:ascii="Gambria" w:hAnsi="Gambria" w:cs="Arial"/>
          <w:sz w:val="22"/>
          <w:szCs w:val="22"/>
        </w:rPr>
        <w:t>uloženie</w:t>
      </w:r>
      <w:r w:rsidRPr="00EF70E1">
        <w:rPr>
          <w:rFonts w:ascii="Gambria" w:hAnsi="Gambria" w:cs="Arial"/>
          <w:spacing w:val="-1"/>
          <w:w w:val="99"/>
          <w:sz w:val="22"/>
          <w:szCs w:val="22"/>
        </w:rPr>
        <w:t xml:space="preserve"> </w:t>
      </w:r>
      <w:r w:rsidRPr="00EF70E1">
        <w:rPr>
          <w:rFonts w:ascii="Gambria" w:hAnsi="Gambria" w:cs="Arial"/>
          <w:sz w:val="22"/>
          <w:szCs w:val="22"/>
        </w:rPr>
        <w:t>zbierkového predmetu v</w:t>
      </w:r>
      <w:r w:rsidRPr="00EF70E1">
        <w:rPr>
          <w:rFonts w:ascii="Gambria" w:hAnsi="Gambria" w:cs="Arial"/>
          <w:spacing w:val="-35"/>
          <w:sz w:val="22"/>
          <w:szCs w:val="22"/>
        </w:rPr>
        <w:t xml:space="preserve"> </w:t>
      </w:r>
      <w:r w:rsidRPr="00EF70E1">
        <w:rPr>
          <w:rFonts w:ascii="Gambria" w:hAnsi="Gambria" w:cs="Arial"/>
          <w:sz w:val="22"/>
          <w:szCs w:val="22"/>
        </w:rPr>
        <w:t>depozitári,</w:t>
      </w:r>
    </w:p>
    <w:p w14:paraId="7279592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miesto trvalého</w:t>
      </w:r>
      <w:r w:rsidRPr="00EF70E1">
        <w:rPr>
          <w:rFonts w:ascii="Gambria" w:hAnsi="Gambria" w:cs="Arial"/>
          <w:spacing w:val="-27"/>
          <w:sz w:val="22"/>
          <w:szCs w:val="22"/>
        </w:rPr>
        <w:t xml:space="preserve"> </w:t>
      </w:r>
      <w:r w:rsidRPr="00EF70E1">
        <w:rPr>
          <w:rFonts w:ascii="Gambria" w:hAnsi="Gambria" w:cs="Arial"/>
          <w:sz w:val="22"/>
          <w:szCs w:val="22"/>
        </w:rPr>
        <w:t>umiestnenia,</w:t>
      </w:r>
    </w:p>
    <w:p w14:paraId="345F4E4B"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sz w:val="22"/>
          <w:szCs w:val="22"/>
        </w:rPr>
        <w:t>záznam</w:t>
      </w:r>
      <w:r w:rsidRPr="00EF70E1">
        <w:rPr>
          <w:rFonts w:ascii="Gambria" w:hAnsi="Gambria"/>
          <w:spacing w:val="-9"/>
          <w:sz w:val="22"/>
          <w:szCs w:val="22"/>
        </w:rPr>
        <w:t xml:space="preserve"> </w:t>
      </w:r>
      <w:r w:rsidRPr="00EF70E1">
        <w:rPr>
          <w:rFonts w:ascii="Gambria" w:hAnsi="Gambria"/>
          <w:sz w:val="22"/>
          <w:szCs w:val="22"/>
        </w:rPr>
        <w:t>o</w:t>
      </w:r>
      <w:r w:rsidRPr="00EF70E1">
        <w:rPr>
          <w:rFonts w:ascii="Gambria" w:hAnsi="Gambria"/>
          <w:spacing w:val="-9"/>
          <w:sz w:val="22"/>
          <w:szCs w:val="22"/>
        </w:rPr>
        <w:t xml:space="preserve"> </w:t>
      </w:r>
      <w:r w:rsidRPr="00EF70E1">
        <w:rPr>
          <w:rFonts w:ascii="Gambria" w:hAnsi="Gambria"/>
          <w:sz w:val="22"/>
          <w:szCs w:val="22"/>
        </w:rPr>
        <w:t>vyradení</w:t>
      </w:r>
      <w:r w:rsidRPr="00EF70E1">
        <w:rPr>
          <w:rFonts w:ascii="Gambria" w:hAnsi="Gambria"/>
          <w:spacing w:val="-9"/>
          <w:sz w:val="22"/>
          <w:szCs w:val="22"/>
        </w:rPr>
        <w:t xml:space="preserve"> </w:t>
      </w:r>
      <w:r w:rsidRPr="00EF70E1">
        <w:rPr>
          <w:rFonts w:ascii="Gambria" w:hAnsi="Gambria"/>
          <w:sz w:val="22"/>
          <w:szCs w:val="22"/>
        </w:rPr>
        <w:t>zbierkového</w:t>
      </w:r>
      <w:r w:rsidRPr="00EF70E1">
        <w:rPr>
          <w:rFonts w:ascii="Gambria" w:hAnsi="Gambria"/>
          <w:spacing w:val="-9"/>
          <w:sz w:val="22"/>
          <w:szCs w:val="22"/>
        </w:rPr>
        <w:t xml:space="preserve"> </w:t>
      </w:r>
      <w:r w:rsidRPr="00EF70E1">
        <w:rPr>
          <w:rFonts w:ascii="Gambria" w:hAnsi="Gambria"/>
          <w:sz w:val="22"/>
          <w:szCs w:val="22"/>
        </w:rPr>
        <w:t>predmetu</w:t>
      </w:r>
      <w:r w:rsidRPr="00EF70E1">
        <w:rPr>
          <w:rFonts w:ascii="Gambria" w:hAnsi="Gambria"/>
          <w:spacing w:val="-8"/>
          <w:sz w:val="22"/>
          <w:szCs w:val="22"/>
        </w:rPr>
        <w:t xml:space="preserve"> </w:t>
      </w:r>
      <w:r w:rsidRPr="00EF70E1">
        <w:rPr>
          <w:rFonts w:ascii="Gambria" w:hAnsi="Gambria"/>
          <w:sz w:val="22"/>
          <w:szCs w:val="22"/>
        </w:rPr>
        <w:t>z</w:t>
      </w:r>
      <w:r w:rsidRPr="00EF70E1">
        <w:rPr>
          <w:rFonts w:ascii="Gambria" w:hAnsi="Gambria"/>
          <w:spacing w:val="-9"/>
          <w:sz w:val="22"/>
          <w:szCs w:val="22"/>
        </w:rPr>
        <w:t xml:space="preserve"> </w:t>
      </w:r>
      <w:r w:rsidRPr="00EF70E1">
        <w:rPr>
          <w:rFonts w:ascii="Gambria" w:hAnsi="Gambria"/>
          <w:sz w:val="22"/>
          <w:szCs w:val="22"/>
        </w:rPr>
        <w:t>odbornej</w:t>
      </w:r>
      <w:r w:rsidRPr="00EF70E1">
        <w:rPr>
          <w:rFonts w:ascii="Gambria" w:hAnsi="Gambria"/>
          <w:spacing w:val="-9"/>
          <w:sz w:val="22"/>
          <w:szCs w:val="22"/>
        </w:rPr>
        <w:t xml:space="preserve"> </w:t>
      </w:r>
      <w:r w:rsidRPr="00EF70E1">
        <w:rPr>
          <w:rFonts w:ascii="Gambria" w:hAnsi="Gambria"/>
          <w:sz w:val="22"/>
          <w:szCs w:val="22"/>
        </w:rPr>
        <w:t>evidencie,</w:t>
      </w:r>
    </w:p>
    <w:p w14:paraId="474B7494" w14:textId="77777777" w:rsidR="00A1602B" w:rsidRPr="00EF70E1" w:rsidRDefault="00A1602B" w:rsidP="00A1602B">
      <w:pPr>
        <w:numPr>
          <w:ilvl w:val="0"/>
          <w:numId w:val="18"/>
        </w:numPr>
        <w:spacing w:line="259" w:lineRule="auto"/>
        <w:ind w:left="567" w:hanging="567"/>
        <w:jc w:val="both"/>
        <w:rPr>
          <w:rFonts w:ascii="Gambria" w:hAnsi="Gambria"/>
          <w:bCs/>
          <w:sz w:val="22"/>
          <w:szCs w:val="22"/>
        </w:rPr>
      </w:pPr>
      <w:r w:rsidRPr="00EF70E1">
        <w:rPr>
          <w:rFonts w:ascii="Gambria" w:hAnsi="Gambria"/>
          <w:sz w:val="22"/>
          <w:szCs w:val="22"/>
        </w:rPr>
        <w:t>poznámky.</w:t>
      </w:r>
    </w:p>
    <w:p w14:paraId="34C429BC"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EF70E1">
        <w:rPr>
          <w:rFonts w:ascii="Gambria" w:hAnsi="Gambria" w:cs="Arial"/>
          <w:sz w:val="22"/>
          <w:szCs w:val="22"/>
        </w:rPr>
        <w:t>Odborná evidencia  II.  stupňa  -  katalogizácia  sa  vykonáva  v  katalogizačnom  zázname  alebo</w:t>
      </w:r>
      <w:r w:rsidRPr="00EF70E1">
        <w:rPr>
          <w:rFonts w:ascii="Gambria" w:hAnsi="Gambria" w:cs="Arial"/>
          <w:spacing w:val="35"/>
          <w:sz w:val="22"/>
          <w:szCs w:val="22"/>
        </w:rPr>
        <w:t xml:space="preserve"> </w:t>
      </w:r>
      <w:r w:rsidRPr="00EF70E1">
        <w:rPr>
          <w:rFonts w:ascii="Gambria" w:hAnsi="Gambria" w:cs="Arial"/>
          <w:sz w:val="22"/>
          <w:szCs w:val="22"/>
        </w:rPr>
        <w:t xml:space="preserve">na dokumentačnej karte (zb. predmety výtvarného charakteru). </w:t>
      </w:r>
      <w:r w:rsidRPr="00EF70E1">
        <w:rPr>
          <w:rFonts w:ascii="Gambria" w:hAnsi="Gambria" w:cs="Arial"/>
          <w:spacing w:val="19"/>
          <w:sz w:val="22"/>
          <w:szCs w:val="22"/>
        </w:rPr>
        <w:t xml:space="preserve"> </w:t>
      </w:r>
      <w:r w:rsidRPr="00EF70E1">
        <w:rPr>
          <w:rFonts w:ascii="Gambria" w:hAnsi="Gambria" w:cs="Arial"/>
          <w:sz w:val="22"/>
          <w:szCs w:val="22"/>
        </w:rPr>
        <w:t>Súčasťou odbornej evidencie II. stupňa je aj obrazová dokumentácia.</w:t>
      </w:r>
    </w:p>
    <w:p w14:paraId="6481CE36"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EF70E1">
        <w:rPr>
          <w:rFonts w:ascii="Gambria" w:hAnsi="Gambria" w:cs="Arial"/>
          <w:sz w:val="22"/>
          <w:szCs w:val="22"/>
        </w:rPr>
        <w:t>Časť zbierkových predmetov, získaných v období rokov 1890 – 1994, bola z dôvodu určenia aktuálnej</w:t>
      </w:r>
      <w:r w:rsidRPr="00EF70E1">
        <w:rPr>
          <w:rFonts w:ascii="Gambria" w:hAnsi="Gambria" w:cs="Arial"/>
          <w:spacing w:val="-1"/>
          <w:w w:val="99"/>
          <w:sz w:val="22"/>
          <w:szCs w:val="22"/>
        </w:rPr>
        <w:t xml:space="preserve"> </w:t>
      </w:r>
      <w:r w:rsidRPr="00EF70E1">
        <w:rPr>
          <w:rFonts w:ascii="Gambria" w:hAnsi="Gambria" w:cs="Arial"/>
          <w:sz w:val="22"/>
          <w:szCs w:val="22"/>
        </w:rPr>
        <w:t>hodnoty, resp. hodnoty  (pri  zb.  predmetoch,  ktoré  nemali  uvedenú  ani  nadobúdaciu  hodnotu)</w:t>
      </w:r>
      <w:r w:rsidRPr="00EF70E1">
        <w:rPr>
          <w:rFonts w:ascii="Gambria" w:hAnsi="Gambria" w:cs="Arial"/>
          <w:spacing w:val="15"/>
          <w:sz w:val="22"/>
          <w:szCs w:val="22"/>
        </w:rPr>
        <w:t xml:space="preserve"> </w:t>
      </w:r>
      <w:r w:rsidRPr="00EF70E1">
        <w:rPr>
          <w:rFonts w:ascii="Gambria" w:hAnsi="Gambria" w:cs="Arial"/>
          <w:sz w:val="22"/>
          <w:szCs w:val="22"/>
        </w:rPr>
        <w:t>prehodnotená</w:t>
      </w:r>
      <w:r w:rsidRPr="00EF70E1">
        <w:rPr>
          <w:rFonts w:ascii="Gambria" w:hAnsi="Gambria" w:cs="Arial"/>
          <w:spacing w:val="-1"/>
          <w:w w:val="99"/>
          <w:sz w:val="22"/>
          <w:szCs w:val="22"/>
        </w:rPr>
        <w:t xml:space="preserve"> </w:t>
      </w:r>
      <w:r w:rsidRPr="00EF70E1">
        <w:rPr>
          <w:rFonts w:ascii="Gambria" w:hAnsi="Gambria" w:cs="Arial"/>
          <w:sz w:val="22"/>
          <w:szCs w:val="22"/>
        </w:rPr>
        <w:t>na základe odborných</w:t>
      </w:r>
      <w:r w:rsidRPr="00EF70E1">
        <w:rPr>
          <w:rFonts w:ascii="Gambria" w:hAnsi="Gambria" w:cs="Arial"/>
          <w:spacing w:val="-34"/>
          <w:sz w:val="22"/>
          <w:szCs w:val="22"/>
        </w:rPr>
        <w:t xml:space="preserve"> </w:t>
      </w:r>
      <w:r w:rsidRPr="00EF70E1">
        <w:rPr>
          <w:rFonts w:ascii="Gambria" w:hAnsi="Gambria" w:cs="Arial"/>
          <w:sz w:val="22"/>
          <w:szCs w:val="22"/>
        </w:rPr>
        <w:t>posudkov.</w:t>
      </w:r>
    </w:p>
    <w:p w14:paraId="62D0E14E"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BC7DB4">
        <w:rPr>
          <w:rFonts w:ascii="Gambria" w:hAnsi="Gambria" w:cs="Arial"/>
          <w:sz w:val="22"/>
          <w:szCs w:val="22"/>
        </w:rPr>
        <w:t>Všetky zbierkové predmety sú evidované v odbornej evidencii I. a II. stupňa, ktorá tvorí operatívnu evidenciu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bookmarkEnd w:id="3"/>
    <w:p w14:paraId="02605890" w14:textId="77777777" w:rsidR="00A1602B" w:rsidRPr="00EF70E1" w:rsidRDefault="00A1602B" w:rsidP="00A1602B">
      <w:pPr>
        <w:spacing w:line="259" w:lineRule="auto"/>
        <w:ind w:left="567" w:hanging="567"/>
        <w:rPr>
          <w:rFonts w:ascii="Gambria" w:hAnsi="Gambria"/>
          <w:sz w:val="22"/>
          <w:szCs w:val="22"/>
        </w:rPr>
      </w:pPr>
    </w:p>
    <w:p w14:paraId="45323D04" w14:textId="77777777" w:rsidR="00A1602B" w:rsidRPr="00EF70E1" w:rsidRDefault="00A1602B" w:rsidP="00A1602B">
      <w:pPr>
        <w:pStyle w:val="ListParagraph"/>
        <w:spacing w:line="259" w:lineRule="auto"/>
        <w:ind w:left="567" w:hanging="567"/>
        <w:rPr>
          <w:rFonts w:ascii="Gambria" w:hAnsi="Gambria"/>
          <w:b/>
          <w:bCs/>
          <w:sz w:val="22"/>
          <w:szCs w:val="22"/>
        </w:rPr>
      </w:pPr>
      <w:r w:rsidRPr="00EF70E1">
        <w:rPr>
          <w:rFonts w:ascii="Gambria" w:hAnsi="Gambria"/>
          <w:b/>
          <w:bCs/>
          <w:sz w:val="22"/>
          <w:szCs w:val="22"/>
        </w:rPr>
        <w:t>1.4.4 Spôsoby zabezpečenia hnuteľných veci proti odcudzeniu – zabezpečenie objektu:</w:t>
      </w:r>
    </w:p>
    <w:p w14:paraId="335B9ED8" w14:textId="77777777" w:rsidR="00A1602B" w:rsidRPr="00EF70E1" w:rsidRDefault="00A1602B" w:rsidP="00A1602B">
      <w:pPr>
        <w:spacing w:line="259" w:lineRule="auto"/>
        <w:ind w:left="567" w:hanging="567"/>
        <w:rPr>
          <w:rFonts w:ascii="Gambria" w:hAnsi="Gambria"/>
          <w:b/>
          <w:bCs/>
          <w:sz w:val="22"/>
          <w:szCs w:val="22"/>
        </w:rPr>
      </w:pPr>
      <w:r w:rsidRPr="00EF70E1">
        <w:rPr>
          <w:rFonts w:ascii="Gambria" w:hAnsi="Gambria"/>
          <w:b/>
          <w:bCs/>
          <w:sz w:val="22"/>
          <w:szCs w:val="22"/>
        </w:rPr>
        <w:t>Zabezpečenie vchodových dverí miestnosti/objektu</w:t>
      </w:r>
    </w:p>
    <w:p w14:paraId="5CE98D86"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5.000,- EUR </w:t>
      </w:r>
      <w:r w:rsidRPr="00EF70E1">
        <w:rPr>
          <w:rFonts w:ascii="Gambria" w:hAnsi="Gambria"/>
          <w:sz w:val="22"/>
          <w:szCs w:val="22"/>
        </w:rPr>
        <w:t xml:space="preserve">- uzamknutý objekt  /bez špecifikácie uzamykacieho systému/ </w:t>
      </w:r>
    </w:p>
    <w:p w14:paraId="06E72B58"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8.300,- EUR  </w:t>
      </w:r>
      <w:r w:rsidRPr="00EF70E1">
        <w:rPr>
          <w:rFonts w:ascii="Gambria" w:hAnsi="Gambria"/>
          <w:sz w:val="22"/>
          <w:szCs w:val="22"/>
        </w:rPr>
        <w:t>- bezpečnostná cylindrická vložka zabraňujúca vytlačeniu a bezpečnostný štít zabraňujúci rozlomeniu a vylomeniu vložky.</w:t>
      </w:r>
    </w:p>
    <w:p w14:paraId="6D768464"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16.600,- EUR </w:t>
      </w:r>
      <w:r w:rsidRPr="00EF70E1">
        <w:rPr>
          <w:rFonts w:ascii="Gambria" w:hAnsi="Gambria"/>
          <w:sz w:val="22"/>
          <w:szCs w:val="22"/>
        </w:rPr>
        <w:t>- bezpečnostná cylindrická vložka zabraňujúca vytlačeniu a bezpečnostný štít zabraňujúci rozlomeniu a vylomeniu vložky + pridaný ďalší zámok, bezpečnostná závora a oplechované dvere.</w:t>
      </w:r>
    </w:p>
    <w:p w14:paraId="76C1DDB8"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33.200,- EUR </w:t>
      </w:r>
      <w:r w:rsidRPr="00EF70E1">
        <w:rPr>
          <w:rFonts w:ascii="Gambria" w:hAnsi="Gambria"/>
          <w:sz w:val="22"/>
          <w:szCs w:val="22"/>
        </w:rPr>
        <w:t xml:space="preserve">– bezpečnostný uzamykací systém zabraňujúci vytlačeniu, rozlomeniu a odvŕtaniu vložky, ďalej prídavný bezpečnostný zámok. Dvere zabezpečené proti vysadeniu alebo zabezpečené proti vysadeniu alebo zabezpečené dvojitou závorou s uzamykateľnou bezpečnostnou zámkou. </w:t>
      </w:r>
    </w:p>
    <w:p w14:paraId="0663E38B"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Nad</w:t>
      </w:r>
      <w:r w:rsidRPr="00EF70E1">
        <w:rPr>
          <w:rFonts w:ascii="Gambria" w:hAnsi="Gambria"/>
          <w:b/>
          <w:bCs/>
          <w:sz w:val="22"/>
          <w:szCs w:val="22"/>
        </w:rPr>
        <w:t xml:space="preserve"> 33.200,- EUR</w:t>
      </w:r>
      <w:r w:rsidRPr="00EF70E1">
        <w:rPr>
          <w:rFonts w:ascii="Gambria" w:hAnsi="Gambria"/>
          <w:sz w:val="22"/>
          <w:szCs w:val="22"/>
        </w:rPr>
        <w:t>– trvalá strážna fyzická ochrana alebo strážna službu, alebo EZS  napojená na  pult centrálnej ochrany mestskej alebo štátnej polície.</w:t>
      </w:r>
    </w:p>
    <w:p w14:paraId="411CFD2C" w14:textId="77777777" w:rsidR="00A1602B" w:rsidRPr="00EF70E1" w:rsidRDefault="00A1602B" w:rsidP="00A1602B">
      <w:pPr>
        <w:spacing w:line="259" w:lineRule="auto"/>
        <w:ind w:left="567" w:hanging="567"/>
        <w:rPr>
          <w:rFonts w:ascii="Gambria" w:hAnsi="Gambria"/>
          <w:sz w:val="22"/>
          <w:szCs w:val="22"/>
        </w:rPr>
      </w:pPr>
    </w:p>
    <w:p w14:paraId="10296B3C"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t>Pre prípad krádeže dennej tržby v čase prevádzky, peňazí v trezore, peňazí v pokladniach, prepravy peňazí poslom  sa dojednáva nasledovný spôsob zabezpečenia:</w:t>
      </w:r>
    </w:p>
    <w:p w14:paraId="2003A601" w14:textId="77777777" w:rsidR="00A1602B" w:rsidRPr="00EF70E1" w:rsidRDefault="00A1602B" w:rsidP="00A1602B">
      <w:pPr>
        <w:spacing w:line="259" w:lineRule="auto"/>
        <w:ind w:left="567" w:hanging="567"/>
        <w:rPr>
          <w:rFonts w:ascii="Gambria" w:hAnsi="Gambria"/>
          <w:b/>
          <w:bCs/>
          <w:sz w:val="22"/>
          <w:szCs w:val="22"/>
        </w:rPr>
      </w:pPr>
      <w:r w:rsidRPr="00EF70E1">
        <w:rPr>
          <w:rFonts w:ascii="Gambria" w:hAnsi="Gambria"/>
          <w:sz w:val="22"/>
          <w:szCs w:val="22"/>
        </w:rPr>
        <w:t>Pre dennú tržbu peňazí, cenín, cenností, cenných papierov, ktoré nie sú z prevádzkových dôvodov uložené počas prevádzky v uzamknutých trezoroch v čase:</w:t>
      </w:r>
    </w:p>
    <w:p w14:paraId="47043999" w14:textId="77777777" w:rsidR="00A1602B" w:rsidRPr="00EF70E1" w:rsidRDefault="00A1602B" w:rsidP="00A1602B">
      <w:pPr>
        <w:numPr>
          <w:ilvl w:val="0"/>
          <w:numId w:val="19"/>
        </w:numPr>
        <w:tabs>
          <w:tab w:val="clear" w:pos="2160"/>
        </w:tabs>
        <w:spacing w:line="259" w:lineRule="auto"/>
        <w:ind w:left="567" w:hanging="567"/>
        <w:jc w:val="both"/>
        <w:rPr>
          <w:rFonts w:ascii="Gambria" w:hAnsi="Gambria"/>
          <w:sz w:val="22"/>
          <w:szCs w:val="22"/>
        </w:rPr>
      </w:pPr>
      <w:r w:rsidRPr="00EF70E1">
        <w:rPr>
          <w:rFonts w:ascii="Gambria" w:hAnsi="Gambria"/>
          <w:sz w:val="22"/>
          <w:szCs w:val="22"/>
        </w:rPr>
        <w:t>od prevzatia peňazí oprávnenou osobou po uloženie do pokladne alebo zásuvky,</w:t>
      </w:r>
    </w:p>
    <w:p w14:paraId="08227621" w14:textId="77777777" w:rsidR="00A1602B" w:rsidRPr="00EF70E1" w:rsidRDefault="00A1602B" w:rsidP="00A1602B">
      <w:pPr>
        <w:numPr>
          <w:ilvl w:val="0"/>
          <w:numId w:val="19"/>
        </w:numPr>
        <w:tabs>
          <w:tab w:val="clear" w:pos="2160"/>
        </w:tabs>
        <w:spacing w:line="259" w:lineRule="auto"/>
        <w:ind w:left="567" w:hanging="567"/>
        <w:jc w:val="both"/>
        <w:rPr>
          <w:rFonts w:ascii="Gambria" w:hAnsi="Gambria"/>
          <w:sz w:val="22"/>
          <w:szCs w:val="22"/>
        </w:rPr>
      </w:pPr>
      <w:r w:rsidRPr="00EF70E1">
        <w:rPr>
          <w:rFonts w:ascii="Gambria" w:hAnsi="Gambria"/>
          <w:sz w:val="22"/>
          <w:szCs w:val="22"/>
        </w:rPr>
        <w:t>uloženia peňazí v</w:t>
      </w:r>
      <w:r>
        <w:rPr>
          <w:rFonts w:ascii="Gambria" w:hAnsi="Gambria"/>
          <w:sz w:val="22"/>
          <w:szCs w:val="22"/>
        </w:rPr>
        <w:t> </w:t>
      </w:r>
      <w:r w:rsidRPr="00EF70E1">
        <w:rPr>
          <w:rFonts w:ascii="Gambria" w:hAnsi="Gambria"/>
          <w:sz w:val="22"/>
          <w:szCs w:val="22"/>
        </w:rPr>
        <w:t>pokladni</w:t>
      </w:r>
      <w:r>
        <w:rPr>
          <w:rFonts w:ascii="Gambria" w:hAnsi="Gambria"/>
          <w:sz w:val="22"/>
          <w:szCs w:val="22"/>
        </w:rPr>
        <w:t>,</w:t>
      </w:r>
    </w:p>
    <w:p w14:paraId="2D1A97C5" w14:textId="77777777" w:rsidR="00A1602B" w:rsidRPr="00EF70E1" w:rsidRDefault="00A1602B" w:rsidP="00A1602B">
      <w:pPr>
        <w:pStyle w:val="BodyTextIndent2"/>
        <w:numPr>
          <w:ilvl w:val="0"/>
          <w:numId w:val="19"/>
        </w:numPr>
        <w:tabs>
          <w:tab w:val="clear" w:pos="2160"/>
        </w:tabs>
        <w:spacing w:after="0" w:line="259" w:lineRule="auto"/>
        <w:ind w:left="567" w:hanging="567"/>
        <w:jc w:val="both"/>
        <w:rPr>
          <w:rFonts w:ascii="Gambria" w:hAnsi="Gambria"/>
          <w:sz w:val="22"/>
          <w:szCs w:val="22"/>
        </w:rPr>
      </w:pPr>
      <w:r w:rsidRPr="00EF70E1">
        <w:rPr>
          <w:rFonts w:ascii="Gambria" w:hAnsi="Gambria"/>
          <w:sz w:val="22"/>
          <w:szCs w:val="22"/>
        </w:rPr>
        <w:t>prenosu peňazí oprávnenou osobou do trezoru v mieste poistenia musia byť splnené nasledujúce bezpečnostné opatrenia:</w:t>
      </w:r>
    </w:p>
    <w:p w14:paraId="703D3ADA"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nepretržitá, bezprostredná prítomnosť oprávnenej osoby,</w:t>
      </w:r>
    </w:p>
    <w:p w14:paraId="7807B8AD"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pokladňa alebo zásuvka môže byť otvorená len v čase manipulácie s peniazmi,</w:t>
      </w:r>
    </w:p>
    <w:p w14:paraId="5B44ABDF"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v prípade, keď je v jednej pokladni alebo zásuvke uložených viac ako 4.350,- EUR musia byť tieto bezodkladne uložené a uzamknuté do trezora,</w:t>
      </w:r>
    </w:p>
    <w:p w14:paraId="748280EC"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prenos dennej tržby do trezora v mieste poistenia musí byť vykonávaný oprávnenou osobou, bez neodôvodneného prerušenia, čo najkratšou cestou.</w:t>
      </w:r>
    </w:p>
    <w:p w14:paraId="4D98C1B0"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sz w:val="22"/>
          <w:szCs w:val="22"/>
        </w:rPr>
      </w:pPr>
      <w:r w:rsidRPr="00EF70E1">
        <w:rPr>
          <w:rFonts w:ascii="Gambria" w:hAnsi="Gambria"/>
          <w:sz w:val="22"/>
          <w:szCs w:val="22"/>
        </w:rPr>
        <w:t>Ak nie je zabezpečená bezprostredná prítomnosť oprávnenej osoby, denná tržba musí byť uložená:</w:t>
      </w:r>
    </w:p>
    <w:p w14:paraId="784B62C3" w14:textId="77777777" w:rsidR="00A1602B" w:rsidRPr="00EF70E1" w:rsidRDefault="00A1602B" w:rsidP="00A1602B">
      <w:pPr>
        <w:numPr>
          <w:ilvl w:val="0"/>
          <w:numId w:val="20"/>
        </w:numPr>
        <w:spacing w:line="259" w:lineRule="auto"/>
        <w:ind w:left="567" w:hanging="567"/>
        <w:jc w:val="both"/>
        <w:rPr>
          <w:rFonts w:ascii="Gambria" w:hAnsi="Gambria"/>
          <w:sz w:val="22"/>
          <w:szCs w:val="22"/>
        </w:rPr>
      </w:pPr>
      <w:r w:rsidRPr="00EF70E1">
        <w:rPr>
          <w:rFonts w:ascii="Gambria" w:hAnsi="Gambria"/>
          <w:sz w:val="22"/>
          <w:szCs w:val="22"/>
        </w:rPr>
        <w:t>do  výšky  4.350,- EUR  v uzamknutej miestnosti,</w:t>
      </w:r>
    </w:p>
    <w:p w14:paraId="7F18CD45" w14:textId="77777777" w:rsidR="00A1602B" w:rsidRPr="00EF70E1" w:rsidRDefault="00A1602B" w:rsidP="00A1602B">
      <w:pPr>
        <w:numPr>
          <w:ilvl w:val="0"/>
          <w:numId w:val="20"/>
        </w:numPr>
        <w:spacing w:line="259" w:lineRule="auto"/>
        <w:ind w:left="567" w:hanging="567"/>
        <w:jc w:val="both"/>
        <w:rPr>
          <w:rFonts w:ascii="Gambria" w:hAnsi="Gambria"/>
          <w:sz w:val="22"/>
          <w:szCs w:val="22"/>
        </w:rPr>
      </w:pPr>
      <w:r w:rsidRPr="00EF70E1">
        <w:rPr>
          <w:rFonts w:ascii="Gambria" w:hAnsi="Gambria"/>
          <w:sz w:val="22"/>
          <w:szCs w:val="22"/>
        </w:rPr>
        <w:lastRenderedPageBreak/>
        <w:t xml:space="preserve">do  výšky 16.600,- EUR v uzamknutom trezore. Miestnosť v ktorej sa trezor nachádza musí byť v dobe neprítomnosti uzamknutá, okná miestnosti musia byť zatvorené. </w:t>
      </w:r>
    </w:p>
    <w:p w14:paraId="7587C8C6" w14:textId="77777777" w:rsidR="00A1602B" w:rsidRPr="00EF70E1" w:rsidRDefault="00A1602B" w:rsidP="00A1602B">
      <w:pPr>
        <w:spacing w:line="259" w:lineRule="auto"/>
        <w:ind w:left="567" w:hanging="567"/>
        <w:rPr>
          <w:rFonts w:ascii="Gambria" w:hAnsi="Gambria"/>
          <w:sz w:val="22"/>
          <w:szCs w:val="22"/>
        </w:rPr>
      </w:pPr>
    </w:p>
    <w:p w14:paraId="752E45BE"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sz w:val="22"/>
          <w:szCs w:val="22"/>
        </w:rPr>
      </w:pPr>
      <w:r w:rsidRPr="00EF70E1">
        <w:rPr>
          <w:rFonts w:ascii="Gambria" w:hAnsi="Gambria"/>
          <w:sz w:val="22"/>
          <w:szCs w:val="22"/>
        </w:rPr>
        <w:t>V prípade prepravy finančnej hotovosti poslom, musia byť splnené nasledovné spôsoby zabezpečenia:</w:t>
      </w:r>
    </w:p>
    <w:p w14:paraId="0B3686EF"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do sumy 5.000,- EUR poverená osoba vybavená vhodným kufríkom alebo taškou alebo trezorovou schránkou (schránka z parkovacích automatov)</w:t>
      </w:r>
      <w:r>
        <w:rPr>
          <w:rFonts w:ascii="Gambria" w:hAnsi="Gambria"/>
          <w:sz w:val="22"/>
          <w:szCs w:val="22"/>
        </w:rPr>
        <w:t>,</w:t>
      </w:r>
    </w:p>
    <w:p w14:paraId="45E32A82"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do sumy 16.600,- EUR poverená osoba vybavená bezpečnostným kufríkom a ďalšia osoba vybavená strelnou zbraňou ( napr. Mestská polícia)</w:t>
      </w:r>
      <w:r>
        <w:rPr>
          <w:rFonts w:ascii="Gambria" w:hAnsi="Gambria"/>
          <w:sz w:val="22"/>
          <w:szCs w:val="22"/>
        </w:rPr>
        <w:t>,</w:t>
      </w:r>
    </w:p>
    <w:p w14:paraId="36E29318"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nad sumu 16.600,- EUR – poverená osoba vybavená výhradne bezpečnostným kufríkom v sprievode dvoch osôb vybavených strelnou zbraňou.</w:t>
      </w:r>
    </w:p>
    <w:p w14:paraId="2D31DFB4" w14:textId="77777777" w:rsidR="00A1602B" w:rsidRPr="00EF70E1" w:rsidRDefault="00A1602B" w:rsidP="00A1602B">
      <w:pPr>
        <w:tabs>
          <w:tab w:val="left" w:pos="7797"/>
        </w:tabs>
        <w:spacing w:line="259" w:lineRule="auto"/>
        <w:ind w:left="567" w:hanging="567"/>
        <w:rPr>
          <w:rFonts w:ascii="Gambria" w:hAnsi="Gambria"/>
          <w:b/>
          <w:bCs/>
          <w:iCs/>
          <w:sz w:val="22"/>
          <w:szCs w:val="22"/>
        </w:rPr>
      </w:pPr>
    </w:p>
    <w:p w14:paraId="6D5FCA04" w14:textId="77777777" w:rsidR="00A1602B" w:rsidRPr="00EF70E1" w:rsidRDefault="00A1602B" w:rsidP="00A1602B">
      <w:pPr>
        <w:pStyle w:val="ListParagraph"/>
        <w:widowControl/>
        <w:numPr>
          <w:ilvl w:val="1"/>
          <w:numId w:val="28"/>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t>Poistenie strojov, strojových zariadení a elektroniky</w:t>
      </w:r>
    </w:p>
    <w:p w14:paraId="0ED5DC30" w14:textId="77777777" w:rsidR="00A1602B" w:rsidRPr="00EF70E1" w:rsidRDefault="00A1602B" w:rsidP="00A1602B">
      <w:pPr>
        <w:pStyle w:val="ListParagraph"/>
        <w:widowControl/>
        <w:numPr>
          <w:ilvl w:val="2"/>
          <w:numId w:val="29"/>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sz w:val="22"/>
          <w:szCs w:val="22"/>
        </w:rPr>
        <w:t>Predmet poistenia: Súbor strojov, pojazdných pracovných strojov, prístrojov a zariadení, elektroniky a technologického vybavenia budov, hál a stavieb - strojné a elektronické príslušenstvo, na I. riziko na novú cenu</w:t>
      </w:r>
      <w:r>
        <w:rPr>
          <w:rFonts w:ascii="Gambria" w:hAnsi="Gambria"/>
          <w:sz w:val="22"/>
          <w:szCs w:val="22"/>
        </w:rPr>
        <w:t>.</w:t>
      </w:r>
    </w:p>
    <w:p w14:paraId="3D6CE418" w14:textId="77777777" w:rsidR="00A1602B" w:rsidRPr="00EF70E1" w:rsidRDefault="00A1602B" w:rsidP="00A1602B">
      <w:pPr>
        <w:pStyle w:val="ListParagraph"/>
        <w:widowControl/>
        <w:numPr>
          <w:ilvl w:val="2"/>
          <w:numId w:val="29"/>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sz w:val="22"/>
          <w:szCs w:val="22"/>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15775193" w14:textId="77777777" w:rsidR="00A1602B" w:rsidRPr="00EF70E1" w:rsidRDefault="00A1602B" w:rsidP="00A1602B">
      <w:pPr>
        <w:pStyle w:val="BodyText"/>
        <w:spacing w:line="259" w:lineRule="auto"/>
        <w:ind w:left="567" w:hanging="567"/>
        <w:rPr>
          <w:rFonts w:ascii="Gambria" w:hAnsi="Gambria"/>
          <w:sz w:val="22"/>
          <w:szCs w:val="22"/>
          <w:u w:val="single"/>
        </w:rPr>
      </w:pPr>
      <w:r w:rsidRPr="00EF70E1">
        <w:rPr>
          <w:rFonts w:ascii="Gambria" w:hAnsi="Gambria"/>
          <w:sz w:val="22"/>
          <w:szCs w:val="22"/>
          <w:u w:val="single"/>
        </w:rPr>
        <w:t>Právo na plnenie vznikne, ak poistná udalosť bola spôsobená napr.:</w:t>
      </w:r>
    </w:p>
    <w:p w14:paraId="1D813A9D"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01B25415"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chybou obsluhy, nešikovnosťou,</w:t>
      </w:r>
      <w:r>
        <w:rPr>
          <w:rFonts w:ascii="Gambria" w:hAnsi="Gambria"/>
          <w:sz w:val="22"/>
          <w:szCs w:val="22"/>
        </w:rPr>
        <w:t xml:space="preserve"> </w:t>
      </w:r>
      <w:r>
        <w:t>nedbanlivosťou</w:t>
      </w:r>
      <w:r w:rsidRPr="00EF70E1">
        <w:rPr>
          <w:rFonts w:ascii="Gambria" w:hAnsi="Gambria"/>
          <w:sz w:val="22"/>
          <w:szCs w:val="22"/>
        </w:rPr>
        <w:t xml:space="preserve"> alebo úmyselným konaním, </w:t>
      </w:r>
    </w:p>
    <w:p w14:paraId="31506233"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pretlakom pary, plynu, kvapalinou alebo podtlakom,</w:t>
      </w:r>
    </w:p>
    <w:p w14:paraId="73D41DB0"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nedostatkom vody v kotloch, parných generátoroch,</w:t>
      </w:r>
    </w:p>
    <w:p w14:paraId="2B83CDA5"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pádom stroja,</w:t>
      </w:r>
    </w:p>
    <w:p w14:paraId="7A74EB36"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roztrhnutie v dôsledku odstredivej sily,</w:t>
      </w:r>
    </w:p>
    <w:p w14:paraId="72706043"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skrat el. prúdom a iným  pôsobením el. prúdu /prepätie, indukčné účinky blesku/,</w:t>
      </w:r>
    </w:p>
    <w:p w14:paraId="5C29EF09"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zlyhaním meracej, regulačnej alebo zabezpečovacej techniky,</w:t>
      </w:r>
    </w:p>
    <w:p w14:paraId="4FC4207C"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vniknutie cudzieho predmetu.</w:t>
      </w:r>
    </w:p>
    <w:p w14:paraId="321F0452"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Súčasne sú poistené:</w:t>
      </w:r>
    </w:p>
    <w:p w14:paraId="6AF59E5F"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elektronické súčasti poistenej veci</w:t>
      </w:r>
    </w:p>
    <w:p w14:paraId="6BC98185"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olejové alebo plynové náplne transformátorov, kondenzátory, elektrické meniče a vypínače, ktoré sú súčasťou poistenej veci,</w:t>
      </w:r>
    </w:p>
    <w:p w14:paraId="2C7AB172"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sklenené a optické súčasti poistenej veci.</w:t>
      </w:r>
    </w:p>
    <w:p w14:paraId="79F62C11" w14:textId="77777777" w:rsidR="00A1602B" w:rsidRPr="00EF70E1" w:rsidRDefault="00A1602B" w:rsidP="00A1602B">
      <w:pPr>
        <w:pStyle w:val="BodyText"/>
        <w:spacing w:line="259" w:lineRule="auto"/>
        <w:ind w:left="567" w:hanging="567"/>
        <w:rPr>
          <w:rFonts w:ascii="Gambria" w:hAnsi="Gambria"/>
          <w:b/>
          <w:bCs/>
          <w:i/>
          <w:iCs/>
          <w:sz w:val="22"/>
          <w:szCs w:val="22"/>
          <w:u w:val="single"/>
        </w:rPr>
      </w:pPr>
    </w:p>
    <w:bookmarkEnd w:id="2"/>
    <w:p w14:paraId="74057737" w14:textId="77777777" w:rsidR="00A1602B" w:rsidRPr="00EF70E1" w:rsidRDefault="00A1602B" w:rsidP="00A1602B">
      <w:pPr>
        <w:pStyle w:val="BodyText"/>
        <w:widowControl w:val="0"/>
        <w:numPr>
          <w:ilvl w:val="2"/>
          <w:numId w:val="29"/>
        </w:numPr>
        <w:autoSpaceDE w:val="0"/>
        <w:autoSpaceDN w:val="0"/>
        <w:adjustRightInd w:val="0"/>
        <w:spacing w:line="259" w:lineRule="auto"/>
        <w:ind w:left="567" w:hanging="567"/>
        <w:rPr>
          <w:rFonts w:ascii="Gambria" w:hAnsi="Gambria"/>
          <w:b/>
          <w:bCs/>
          <w:sz w:val="22"/>
          <w:szCs w:val="22"/>
        </w:rPr>
      </w:pPr>
      <w:r w:rsidRPr="00EF70E1">
        <w:rPr>
          <w:rFonts w:ascii="Gambria" w:hAnsi="Gambria"/>
          <w:b/>
          <w:bCs/>
          <w:sz w:val="22"/>
          <w:szCs w:val="22"/>
        </w:rPr>
        <w:t xml:space="preserve">Osobitné dojednania </w:t>
      </w:r>
    </w:p>
    <w:p w14:paraId="10BB80AE"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sa poistenie strojov, strojových zariadení a elektroniky vzťahuje aj na zabezbečovacie a bezpečnostné systémy. </w:t>
      </w:r>
    </w:p>
    <w:p w14:paraId="044444E4"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poistenie sa vzťahuje aj na technologické súčasti budov, hál a stavieb (výťahy, klimatizácie, vzduchotechnika a iné). </w:t>
      </w:r>
    </w:p>
    <w:p w14:paraId="4A13A2B6"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Uchádzač nebude uplatňovať princíp podpoistenia. </w:t>
      </w:r>
    </w:p>
    <w:p w14:paraId="6E560FAF"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pri poistení strojov sú kryté aj nasledujúce viacnáklady s limitom plnenia </w:t>
      </w:r>
      <w:r w:rsidRPr="00EF70E1">
        <w:rPr>
          <w:rFonts w:ascii="Gambria" w:hAnsi="Gambria"/>
          <w:b/>
          <w:bCs/>
          <w:noProof/>
          <w:sz w:val="22"/>
          <w:szCs w:val="22"/>
          <w:lang w:eastAsia="en-US"/>
        </w:rPr>
        <w:t>1</w:t>
      </w:r>
      <w:r>
        <w:rPr>
          <w:rFonts w:ascii="Gambria" w:hAnsi="Gambria"/>
          <w:b/>
          <w:bCs/>
          <w:noProof/>
          <w:sz w:val="22"/>
          <w:szCs w:val="22"/>
          <w:lang w:eastAsia="en-US"/>
        </w:rPr>
        <w:t>5</w:t>
      </w:r>
      <w:r w:rsidRPr="00EF70E1">
        <w:rPr>
          <w:rFonts w:ascii="Gambria" w:hAnsi="Gambria"/>
          <w:b/>
          <w:bCs/>
          <w:noProof/>
          <w:sz w:val="22"/>
          <w:szCs w:val="22"/>
          <w:lang w:eastAsia="en-US"/>
        </w:rPr>
        <w:t>.000,- EUR</w:t>
      </w:r>
      <w:r w:rsidRPr="00EF70E1">
        <w:rPr>
          <w:rFonts w:ascii="Gambria" w:hAnsi="Gambria"/>
          <w:noProof/>
          <w:sz w:val="22"/>
          <w:szCs w:val="22"/>
          <w:lang w:eastAsia="en-US"/>
        </w:rPr>
        <w:t xml:space="preserve"> pre každú poistnú udalosť. Odpratávacie, demolačné, demontážne a remontážne viacnáklady vrátane nákladov na posudkového znalca, nákladov na hľadanie príčiny škody, nákladov na zemné a výkopové práce, nákladov spojených s dopravou, s leteckou dopravou, s príplatkami za nočnú prácu, prácu nadčas, v nedeľu a počas sviatkov, ako aj expresné príplatky.</w:t>
      </w:r>
    </w:p>
    <w:p w14:paraId="76A4982B"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lastRenderedPageBreak/>
        <w:t>Pod pojmom „poistenie na 1. riziko“ sa rozumie „poistenie na 1. riziko s automatickým obnovením poistnej sumy“ – ak v priebehu poisteného obdobia v prípade na prvé riziko nastala poistná udalosť a obstarávateľovi vzniklo právo na poistné plnenie, uchádzač automaticky obnoví poistnú sumu na zvyšok poistného obdobia. Obnovenie poistnej sumy uchádzač urobí stanovením doplatku poistného od termínu vzniku poistnej udalosti do konca poistného obdobia za vyčerpanú časť poistnej sumy zodpovedajúcu poistnému plneniu vrátane spoluúčasti. Dojednaná poistná suma je v priebehu poistného obdobia vždy v pôvodnej výške. Pri poistení na 1.riziko je poistné plnenie poskytované vždy v nových cenách.</w:t>
      </w:r>
    </w:p>
    <w:p w14:paraId="236EA388"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poistenie sa vzťahuje aj na nosiče dát pevne zabudované v hardwerovej časti riadiacej alebo regulačnej jednotky poistenej veci, nosiče dát a záznamov programového vybavenia strojov. </w:t>
      </w:r>
    </w:p>
    <w:p w14:paraId="66846043" w14:textId="77777777" w:rsidR="00A1602B" w:rsidRPr="00F47FBA"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uchádzač bude likvidovať poistné udalosti aj na základe rozpočtov a cenových ponúk vypracovaných na základe schválených cenníkov /schválené rozpočtové cenníky, ktoré používajú rozpočtové a projektové organizácie napr. CENKROS, CENEKON, ODIS/. Ak obstarávateľ neuskutoční opravu poškodenej </w:t>
      </w:r>
      <w:r w:rsidRPr="00F47FBA">
        <w:rPr>
          <w:rFonts w:ascii="Gambria" w:hAnsi="Gambria"/>
          <w:noProof/>
          <w:sz w:val="22"/>
          <w:szCs w:val="22"/>
          <w:lang w:eastAsia="en-US"/>
        </w:rPr>
        <w:t>poistenej veci v zmysle predloženého rozpočtu do jedného roku od vzniku poistnej udalosti, uchádzač vyplatí poistné plnenie max. 80 % rozpočtovaných nákladov na opravu.</w:t>
      </w:r>
    </w:p>
    <w:p w14:paraId="7F6DCB98" w14:textId="77777777" w:rsidR="00A1602B" w:rsidRPr="00F47FBA"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noProof/>
          <w:sz w:val="22"/>
          <w:szCs w:val="22"/>
          <w:lang w:eastAsia="en-US"/>
        </w:rPr>
        <w:t xml:space="preserve">V prípade vzniku nároku na poskytnutie poistného plnenia poskytne poistiteľ účelové zálohové platby vo výške 50% z predložených rozpočtov vypracovaných na základe schválených cenníkov. </w:t>
      </w:r>
    </w:p>
    <w:p w14:paraId="32287D95"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poistenie sa vzťahuje aj na projektory, kamery, fotoaparáty, notebooky a inú prenosnú/mobilnú elektroniku.</w:t>
      </w:r>
    </w:p>
    <w:p w14:paraId="56667E3E"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 xml:space="preserve">Pre </w:t>
      </w:r>
      <w:r w:rsidRPr="00F47FBA">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p>
    <w:p w14:paraId="3505E472"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pri poistení pojazdných pracovných strojov sú kryté aj škody na sklených dieloch a častiach stroja aj bez iného poškodenia stroja.</w:t>
      </w:r>
    </w:p>
    <w:p w14:paraId="3E19ADAD"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poistenie sa vzťahuje aj na snímacie, záznamové a zobrazovacie prvky strojných a elektronických zariadení.</w:t>
      </w:r>
    </w:p>
    <w:p w14:paraId="7A288B87" w14:textId="77777777" w:rsidR="00A1602B" w:rsidRPr="00EF70E1" w:rsidRDefault="00A1602B" w:rsidP="00A1602B">
      <w:pPr>
        <w:tabs>
          <w:tab w:val="left" w:pos="284"/>
        </w:tabs>
        <w:spacing w:line="259" w:lineRule="auto"/>
        <w:ind w:left="567" w:hanging="567"/>
        <w:rPr>
          <w:rFonts w:ascii="Gambria" w:hAnsi="Gambria"/>
          <w:bCs/>
          <w:sz w:val="22"/>
          <w:szCs w:val="22"/>
        </w:rPr>
      </w:pPr>
    </w:p>
    <w:p w14:paraId="007DB767" w14:textId="77777777" w:rsidR="00A1602B" w:rsidRPr="00EF70E1" w:rsidRDefault="00A1602B" w:rsidP="00A1602B">
      <w:pPr>
        <w:pStyle w:val="ListParagraph"/>
        <w:numPr>
          <w:ilvl w:val="1"/>
          <w:numId w:val="29"/>
        </w:numPr>
        <w:spacing w:line="259" w:lineRule="auto"/>
        <w:ind w:left="567" w:hanging="567"/>
        <w:rPr>
          <w:rFonts w:ascii="Gambria" w:hAnsi="Gambria"/>
          <w:b/>
          <w:bCs/>
          <w:sz w:val="22"/>
          <w:szCs w:val="22"/>
          <w:lang w:val="x-none"/>
        </w:rPr>
      </w:pPr>
      <w:r w:rsidRPr="00EF70E1">
        <w:rPr>
          <w:rFonts w:ascii="Gambria" w:hAnsi="Gambria"/>
          <w:b/>
          <w:bCs/>
          <w:sz w:val="22"/>
          <w:szCs w:val="22"/>
          <w:lang w:val="x-none"/>
        </w:rPr>
        <w:t xml:space="preserve">Poistenie pre prípad poškodenia alebo zničenia skla </w:t>
      </w:r>
    </w:p>
    <w:p w14:paraId="71F1998C"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rPr>
        <w:t>Predmet poistenia: Súbor pevne vsadeného alebo osadeného skla vypĺňajúceho vonkajšie otvory budov a stavieb /vrátane bezpečnostných fólií, nápisov a malieb/, súbor sklených pultov, sklených vitrín, sklených stien vo vnútri budov, sklá na informačných tabuliach, svetelné a neónové nápisy alebo reklamy. Poistenie sa vzťahuje aj na rám, v ktorom je sklo osadené. Poistenie sa dojednáva na I. riziko na novú cenu.</w:t>
      </w:r>
    </w:p>
    <w:p w14:paraId="5C9C735D"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rPr>
        <w:t>Poistenie sa vzťahuje na poškodenie  alebo zničenie poistenej veci – akoukoľvek náhodnou udalosťou okrem nasledovných prípadov.</w:t>
      </w:r>
    </w:p>
    <w:p w14:paraId="7902A48D"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u w:val="single"/>
        </w:rPr>
        <w:t>Poistenie sa nevzťahuje</w:t>
      </w:r>
      <w:r w:rsidRPr="00EF70E1">
        <w:rPr>
          <w:rFonts w:ascii="Gambria" w:hAnsi="Gambria"/>
          <w:sz w:val="22"/>
          <w:szCs w:val="22"/>
        </w:rPr>
        <w:t xml:space="preserve"> :</w:t>
      </w:r>
    </w:p>
    <w:p w14:paraId="756FB965"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poškodenie a chyby, ktoré vznikli pred dobou uzatvorenia rámcovej dohody,</w:t>
      </w:r>
    </w:p>
    <w:p w14:paraId="5A28416A"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škody vzniknuté pri doprave poistených vecí,</w:t>
      </w:r>
    </w:p>
    <w:p w14:paraId="556264BC"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pri montáži a demontáži  poistených vecí,</w:t>
      </w:r>
    </w:p>
    <w:p w14:paraId="3ABF6959"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škody, ktoré vznikli v súvislosti s vykonávaním stavebných prác v mieste poistenia,</w:t>
      </w:r>
    </w:p>
    <w:p w14:paraId="5C394822"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cs="Arial"/>
          <w:sz w:val="22"/>
          <w:szCs w:val="22"/>
        </w:rPr>
        <w:t>na škody vzniknuté výbuchom nálože, trhaviny, granátu alebo iných výbušných hmôt.</w:t>
      </w:r>
    </w:p>
    <w:p w14:paraId="1C912129" w14:textId="77777777" w:rsidR="00A1602B" w:rsidRPr="00EF70E1" w:rsidRDefault="00A1602B" w:rsidP="00A1602B">
      <w:pPr>
        <w:spacing w:line="259" w:lineRule="auto"/>
        <w:ind w:left="567" w:hanging="567"/>
        <w:rPr>
          <w:rFonts w:ascii="Gambria" w:hAnsi="Gambria"/>
          <w:sz w:val="22"/>
          <w:szCs w:val="22"/>
        </w:rPr>
      </w:pPr>
    </w:p>
    <w:p w14:paraId="06B1EF73" w14:textId="77777777" w:rsidR="00A1602B" w:rsidRPr="00EF70E1" w:rsidRDefault="00A1602B" w:rsidP="00A1602B">
      <w:pPr>
        <w:pStyle w:val="ListParagraph"/>
        <w:keepNext/>
        <w:keepLines/>
        <w:numPr>
          <w:ilvl w:val="2"/>
          <w:numId w:val="29"/>
        </w:numPr>
        <w:spacing w:line="259" w:lineRule="auto"/>
        <w:ind w:left="567" w:hanging="567"/>
        <w:rPr>
          <w:rFonts w:ascii="Gambria" w:hAnsi="Gambria"/>
          <w:b/>
          <w:sz w:val="22"/>
          <w:szCs w:val="22"/>
        </w:rPr>
      </w:pPr>
      <w:r w:rsidRPr="00EF70E1">
        <w:rPr>
          <w:rFonts w:ascii="Gambria" w:hAnsi="Gambria"/>
          <w:b/>
          <w:sz w:val="22"/>
          <w:szCs w:val="22"/>
        </w:rPr>
        <w:lastRenderedPageBreak/>
        <w:t>Osobitné dojednania:</w:t>
      </w:r>
    </w:p>
    <w:p w14:paraId="733BC22D"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pri poistení skla sa poistenie vzťahuje aj na svetelné pulty, vitríny, sklenené steny, steny z plexiskla a zrkadlá.</w:t>
      </w:r>
    </w:p>
    <w:p w14:paraId="5695296A"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Dojednáva sa, že pri poistení na nové ceny  uhradí </w:t>
      </w:r>
      <w:r w:rsidRPr="000D06AE">
        <w:rPr>
          <w:rFonts w:ascii="Cambria" w:hAnsi="Cambria" w:cs="DelvardCond Reg"/>
          <w:color w:val="000000" w:themeColor="text1"/>
          <w:sz w:val="22"/>
          <w:szCs w:val="22"/>
        </w:rPr>
        <w:t>poistiteľ</w:t>
      </w:r>
      <w:r w:rsidRPr="00EF70E1">
        <w:rPr>
          <w:rFonts w:ascii="Gambria" w:hAnsi="Gambria"/>
          <w:sz w:val="22"/>
          <w:szCs w:val="22"/>
        </w:rPr>
        <w:t xml:space="preserve"> primerané náklady na opravu alebo znovuzriadenie poškodenej alebo zničenej veci až do výšky nákladov na jej znovunadobudnutie ku dňu vzniku poistnej udalosti, zníženú o cenu použiteľných zvyškov, najviac však poistnú sumu stanovenú v zmluve.</w:t>
      </w:r>
    </w:p>
    <w:p w14:paraId="3362A518"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poistenie sa vzťahuje aj na škody spôsobené prievanom.</w:t>
      </w:r>
    </w:p>
    <w:p w14:paraId="6A645E89"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Poistenie sa dojednáva na l. riziko. Pod pojmom “</w:t>
      </w:r>
      <w:r w:rsidRPr="00EF70E1">
        <w:rPr>
          <w:rFonts w:ascii="Gambria" w:hAnsi="Gambria"/>
          <w:b/>
          <w:bCs/>
          <w:sz w:val="22"/>
          <w:szCs w:val="22"/>
        </w:rPr>
        <w:t xml:space="preserve">poistenie na 1. riziko” </w:t>
      </w:r>
      <w:r w:rsidRPr="00EF70E1">
        <w:rPr>
          <w:rFonts w:ascii="Gambria" w:hAnsi="Gambria"/>
          <w:sz w:val="22"/>
          <w:szCs w:val="22"/>
        </w:rPr>
        <w:t xml:space="preserve">sa rozumie </w:t>
      </w:r>
      <w:r w:rsidRPr="00EF70E1">
        <w:rPr>
          <w:rFonts w:ascii="Gambria" w:hAnsi="Gambria"/>
          <w:b/>
          <w:bCs/>
          <w:sz w:val="22"/>
          <w:szCs w:val="22"/>
        </w:rPr>
        <w:t xml:space="preserve">“poistenie na 1. riziko s automatickým obnovením poistnej sumy – </w:t>
      </w:r>
      <w:r w:rsidRPr="00EF70E1">
        <w:rPr>
          <w:rFonts w:ascii="Gambria" w:hAnsi="Gambria"/>
          <w:sz w:val="22"/>
          <w:szCs w:val="22"/>
        </w:rPr>
        <w:t>ak v priebehu poistného obdobia v prípade na prvé riziko nastala poistná udalosť a poistenému vzniklo právo na poistné plnenie,</w:t>
      </w:r>
      <w:r>
        <w:rPr>
          <w:rFonts w:ascii="Gambria" w:hAnsi="Gambria"/>
          <w:sz w:val="22"/>
          <w:szCs w:val="22"/>
        </w:rPr>
        <w:t xml:space="preserve"> poistiteľ</w:t>
      </w:r>
      <w:r w:rsidRPr="00EF70E1">
        <w:rPr>
          <w:rFonts w:ascii="Gambria" w:hAnsi="Gambria"/>
          <w:sz w:val="22"/>
          <w:szCs w:val="22"/>
        </w:rPr>
        <w:t xml:space="preserve"> automaticky obnoví poistnú sumu na zvyšok poistného obdobia. Obnovenie poistnej sumy </w:t>
      </w:r>
      <w:r>
        <w:rPr>
          <w:rFonts w:ascii="Gambria" w:hAnsi="Gambria"/>
          <w:sz w:val="22"/>
          <w:szCs w:val="22"/>
        </w:rPr>
        <w:t>poistiteľ</w:t>
      </w:r>
      <w:r w:rsidRPr="00EF70E1">
        <w:rPr>
          <w:rFonts w:ascii="Gambria" w:hAnsi="Gambria"/>
          <w:sz w:val="22"/>
          <w:szCs w:val="22"/>
        </w:rPr>
        <w:t xml:space="preserve">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78B9F4A"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pri poistení skla sa poistenie vzťahuje aj na svetelné reklamy, svetelné nápisy vrátane ich elektrickej inštalácie a nosnej konštrukcie.</w:t>
      </w:r>
    </w:p>
    <w:p w14:paraId="326A947A" w14:textId="77777777" w:rsidR="00A1602B" w:rsidRPr="00EF70E1" w:rsidRDefault="00A1602B" w:rsidP="00A1602B">
      <w:pPr>
        <w:pStyle w:val="ListParagraph"/>
        <w:widowControl/>
        <w:adjustRightInd/>
        <w:spacing w:line="259" w:lineRule="auto"/>
        <w:ind w:left="567" w:hanging="567"/>
        <w:rPr>
          <w:rFonts w:ascii="Gambria" w:hAnsi="Gambria"/>
          <w:sz w:val="22"/>
          <w:szCs w:val="22"/>
        </w:rPr>
      </w:pPr>
    </w:p>
    <w:p w14:paraId="3DCEE7CF" w14:textId="77777777" w:rsidR="00A1602B" w:rsidRPr="00EF70E1" w:rsidRDefault="00A1602B" w:rsidP="00A1602B">
      <w:pPr>
        <w:pStyle w:val="ListParagraph"/>
        <w:widowControl/>
        <w:adjustRightInd/>
        <w:spacing w:line="259" w:lineRule="auto"/>
        <w:ind w:left="567" w:hanging="567"/>
        <w:rPr>
          <w:rFonts w:ascii="Gambria" w:hAnsi="Gambria"/>
          <w:sz w:val="22"/>
          <w:szCs w:val="22"/>
        </w:rPr>
      </w:pPr>
    </w:p>
    <w:p w14:paraId="459FC1B9" w14:textId="77777777" w:rsidR="00A1602B" w:rsidRPr="00EF70E1" w:rsidRDefault="00A1602B" w:rsidP="00A1602B">
      <w:pPr>
        <w:pStyle w:val="BodyText"/>
        <w:numPr>
          <w:ilvl w:val="1"/>
          <w:numId w:val="29"/>
        </w:numPr>
        <w:spacing w:line="259" w:lineRule="auto"/>
        <w:ind w:left="567" w:hanging="567"/>
        <w:rPr>
          <w:rFonts w:ascii="Gambria" w:hAnsi="Gambria"/>
          <w:b/>
          <w:bCs/>
          <w:sz w:val="22"/>
          <w:szCs w:val="22"/>
        </w:rPr>
      </w:pPr>
      <w:r w:rsidRPr="00EF70E1">
        <w:rPr>
          <w:rFonts w:ascii="Gambria" w:hAnsi="Gambria"/>
          <w:b/>
          <w:bCs/>
          <w:sz w:val="22"/>
          <w:szCs w:val="22"/>
        </w:rPr>
        <w:t>POISTENIE VŠEOBECNEJ ZODPOVEDNOSTI ZA ŠKODU</w:t>
      </w:r>
    </w:p>
    <w:p w14:paraId="1CD7A1AA" w14:textId="77777777" w:rsidR="00A1602B" w:rsidRPr="00EF70E1" w:rsidRDefault="00A1602B" w:rsidP="00A1602B">
      <w:pPr>
        <w:pStyle w:val="BodyText"/>
        <w:spacing w:line="259" w:lineRule="auto"/>
        <w:ind w:left="567" w:hanging="567"/>
        <w:rPr>
          <w:rFonts w:ascii="Gambria" w:hAnsi="Gambria"/>
          <w:b/>
          <w:bCs/>
          <w:sz w:val="22"/>
          <w:szCs w:val="22"/>
        </w:rPr>
      </w:pPr>
    </w:p>
    <w:p w14:paraId="1761A6DD"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cs="Arial"/>
          <w:sz w:val="22"/>
          <w:szCs w:val="22"/>
        </w:rPr>
      </w:pPr>
      <w:r w:rsidRPr="00EE49C9">
        <w:rPr>
          <w:rFonts w:ascii="Gambria" w:hAnsi="Gambria" w:cs="Arial"/>
          <w:sz w:val="22"/>
          <w:szCs w:val="22"/>
        </w:rPr>
        <w:t>Z</w:t>
      </w:r>
      <w:r w:rsidRPr="00EE49C9">
        <w:rPr>
          <w:rFonts w:ascii="Gambria" w:hAnsi="Gambria" w:cs="Arial" w:hint="eastAsia"/>
          <w:sz w:val="22"/>
          <w:szCs w:val="22"/>
        </w:rPr>
        <w:t> </w:t>
      </w:r>
      <w:r w:rsidRPr="00EE49C9">
        <w:rPr>
          <w:rFonts w:ascii="Gambria" w:hAnsi="Gambria" w:cs="Arial"/>
          <w:sz w:val="22"/>
          <w:szCs w:val="22"/>
        </w:rPr>
        <w:t xml:space="preserve">poistenia zodpovednosti za </w:t>
      </w:r>
      <w:r w:rsidRPr="00EE49C9">
        <w:rPr>
          <w:rFonts w:ascii="Gambria" w:hAnsi="Gambria" w:cs="Arial" w:hint="eastAsia"/>
          <w:sz w:val="22"/>
          <w:szCs w:val="22"/>
        </w:rPr>
        <w:t>š</w:t>
      </w:r>
      <w:r w:rsidRPr="00EE49C9">
        <w:rPr>
          <w:rFonts w:ascii="Gambria" w:hAnsi="Gambria" w:cs="Arial"/>
          <w:sz w:val="22"/>
          <w:szCs w:val="22"/>
        </w:rPr>
        <w:t>kodu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w:t>
      </w:r>
      <w:r w:rsidRPr="00EE49C9">
        <w:rPr>
          <w:rFonts w:ascii="Gambria" w:hAnsi="Gambria" w:cs="Arial" w:hint="eastAsia"/>
          <w:sz w:val="22"/>
          <w:szCs w:val="22"/>
        </w:rPr>
        <w:t>á</w:t>
      </w:r>
      <w:r w:rsidRPr="00EE49C9">
        <w:rPr>
          <w:rFonts w:ascii="Gambria" w:hAnsi="Gambria" w:cs="Arial"/>
          <w:sz w:val="22"/>
          <w:szCs w:val="22"/>
        </w:rPr>
        <w:t>vo, aby poistite</w:t>
      </w:r>
      <w:r w:rsidRPr="00EE49C9">
        <w:rPr>
          <w:rFonts w:ascii="Gambria" w:hAnsi="Gambria" w:cs="Arial" w:hint="eastAsia"/>
          <w:sz w:val="22"/>
          <w:szCs w:val="22"/>
        </w:rPr>
        <w:t>ľ</w:t>
      </w:r>
      <w:r w:rsidRPr="00EE49C9">
        <w:rPr>
          <w:rFonts w:ascii="Gambria" w:hAnsi="Gambria" w:cs="Arial"/>
          <w:sz w:val="22"/>
          <w:szCs w:val="22"/>
        </w:rPr>
        <w:t xml:space="preserve"> za neho nahradil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ý</w:t>
      </w:r>
      <w:r w:rsidRPr="00EE49C9">
        <w:rPr>
          <w:rFonts w:ascii="Gambria" w:hAnsi="Gambria" w:cs="Arial"/>
          <w:sz w:val="22"/>
          <w:szCs w:val="22"/>
        </w:rPr>
        <w:t>m uplatnen</w:t>
      </w:r>
      <w:r w:rsidRPr="00EE49C9">
        <w:rPr>
          <w:rFonts w:ascii="Gambria" w:hAnsi="Gambria" w:cs="Arial" w:hint="eastAsia"/>
          <w:sz w:val="22"/>
          <w:szCs w:val="22"/>
        </w:rPr>
        <w:t>é</w:t>
      </w:r>
      <w:r w:rsidRPr="00EE49C9">
        <w:rPr>
          <w:rFonts w:ascii="Gambria" w:hAnsi="Gambria" w:cs="Arial"/>
          <w:sz w:val="22"/>
          <w:szCs w:val="22"/>
        </w:rPr>
        <w:t xml:space="preserve"> a preuk</w:t>
      </w:r>
      <w:r w:rsidRPr="00EE49C9">
        <w:rPr>
          <w:rFonts w:ascii="Gambria" w:hAnsi="Gambria" w:cs="Arial" w:hint="eastAsia"/>
          <w:sz w:val="22"/>
          <w:szCs w:val="22"/>
        </w:rPr>
        <w:t>á</w:t>
      </w:r>
      <w:r w:rsidRPr="00EE49C9">
        <w:rPr>
          <w:rFonts w:ascii="Gambria" w:hAnsi="Gambria" w:cs="Arial"/>
          <w:sz w:val="22"/>
          <w:szCs w:val="22"/>
        </w:rPr>
        <w:t>zan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na n</w:t>
      </w:r>
      <w:r w:rsidRPr="00EE49C9">
        <w:rPr>
          <w:rFonts w:ascii="Gambria" w:hAnsi="Gambria" w:cs="Arial" w:hint="eastAsia"/>
          <w:sz w:val="22"/>
          <w:szCs w:val="22"/>
        </w:rPr>
        <w:t>á</w:t>
      </w:r>
      <w:r w:rsidRPr="00EE49C9">
        <w:rPr>
          <w:rFonts w:ascii="Gambria" w:hAnsi="Gambria" w:cs="Arial"/>
          <w:sz w:val="22"/>
          <w:szCs w:val="22"/>
        </w:rPr>
        <w:t xml:space="preserve">hradu </w:t>
      </w:r>
      <w:r w:rsidRPr="00EE49C9">
        <w:rPr>
          <w:rFonts w:ascii="Gambria" w:hAnsi="Gambria" w:cs="Arial" w:hint="eastAsia"/>
          <w:sz w:val="22"/>
          <w:szCs w:val="22"/>
        </w:rPr>
        <w:t>š</w:t>
      </w:r>
      <w:r w:rsidRPr="00EE49C9">
        <w:rPr>
          <w:rFonts w:ascii="Gambria" w:hAnsi="Gambria" w:cs="Arial"/>
          <w:sz w:val="22"/>
          <w:szCs w:val="22"/>
        </w:rPr>
        <w:t>kody na zdrav</w:t>
      </w:r>
      <w:r w:rsidRPr="00EE49C9">
        <w:rPr>
          <w:rFonts w:ascii="Gambria" w:hAnsi="Gambria" w:cs="Arial" w:hint="eastAsia"/>
          <w:sz w:val="22"/>
          <w:szCs w:val="22"/>
        </w:rPr>
        <w:t>í</w:t>
      </w:r>
      <w:r w:rsidRPr="00EE49C9">
        <w:rPr>
          <w:rFonts w:ascii="Gambria" w:hAnsi="Gambria" w:cs="Arial"/>
          <w:sz w:val="22"/>
          <w:szCs w:val="22"/>
        </w:rPr>
        <w:t xml:space="preserve"> a</w:t>
      </w:r>
      <w:r w:rsidRPr="00EE49C9">
        <w:rPr>
          <w:rFonts w:ascii="Gambria" w:hAnsi="Gambria" w:cs="Arial" w:hint="eastAsia"/>
          <w:sz w:val="22"/>
          <w:szCs w:val="22"/>
        </w:rPr>
        <w:t> š</w:t>
      </w:r>
      <w:r w:rsidRPr="00EE49C9">
        <w:rPr>
          <w:rFonts w:ascii="Gambria" w:hAnsi="Gambria" w:cs="Arial"/>
          <w:sz w:val="22"/>
          <w:szCs w:val="22"/>
        </w:rPr>
        <w:t>kody na veci ako aj in</w:t>
      </w:r>
      <w:r w:rsidRPr="00EE49C9">
        <w:rPr>
          <w:rFonts w:ascii="Gambria" w:hAnsi="Gambria" w:cs="Arial" w:hint="eastAsia"/>
          <w:sz w:val="22"/>
          <w:szCs w:val="22"/>
        </w:rPr>
        <w:t>ú</w:t>
      </w:r>
      <w:r w:rsidRPr="00EE49C9">
        <w:rPr>
          <w:rFonts w:ascii="Gambria" w:hAnsi="Gambria" w:cs="Arial"/>
          <w:sz w:val="22"/>
          <w:szCs w:val="22"/>
        </w:rPr>
        <w:t xml:space="preserve"> majetkov</w:t>
      </w:r>
      <w:r w:rsidRPr="00EE49C9">
        <w:rPr>
          <w:rFonts w:ascii="Gambria" w:hAnsi="Gambria" w:cs="Arial" w:hint="eastAsia"/>
          <w:sz w:val="22"/>
          <w:szCs w:val="22"/>
        </w:rPr>
        <w:t>ú</w:t>
      </w:r>
      <w:r w:rsidRPr="00EE49C9">
        <w:rPr>
          <w:rFonts w:ascii="Gambria" w:hAnsi="Gambria" w:cs="Arial"/>
          <w:sz w:val="22"/>
          <w:szCs w:val="22"/>
        </w:rPr>
        <w:t xml:space="preserve"> ujmu vr</w:t>
      </w:r>
      <w:r w:rsidRPr="00EE49C9">
        <w:rPr>
          <w:rFonts w:ascii="Gambria" w:hAnsi="Gambria" w:cs="Arial" w:hint="eastAsia"/>
          <w:sz w:val="22"/>
          <w:szCs w:val="22"/>
        </w:rPr>
        <w:t>á</w:t>
      </w:r>
      <w:r w:rsidRPr="00EE49C9">
        <w:rPr>
          <w:rFonts w:ascii="Gambria" w:hAnsi="Gambria" w:cs="Arial"/>
          <w:sz w:val="22"/>
          <w:szCs w:val="22"/>
        </w:rPr>
        <w:t>tane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 xml:space="preserve">cu zo vzniknutej </w:t>
      </w:r>
      <w:r w:rsidRPr="00EE49C9">
        <w:rPr>
          <w:rFonts w:ascii="Gambria" w:hAnsi="Gambria" w:cs="Arial" w:hint="eastAsia"/>
          <w:sz w:val="22"/>
          <w:szCs w:val="22"/>
        </w:rPr>
        <w:t>š</w:t>
      </w:r>
      <w:r w:rsidRPr="00EE49C9">
        <w:rPr>
          <w:rFonts w:ascii="Gambria" w:hAnsi="Gambria" w:cs="Arial"/>
          <w:sz w:val="22"/>
          <w:szCs w:val="22"/>
        </w:rPr>
        <w:t>kody na veci a</w:t>
      </w:r>
      <w:r w:rsidRPr="00EE49C9">
        <w:rPr>
          <w:rFonts w:ascii="Gambria" w:hAnsi="Gambria" w:cs="Arial" w:hint="eastAsia"/>
          <w:sz w:val="22"/>
          <w:szCs w:val="22"/>
        </w:rPr>
        <w:t> </w:t>
      </w:r>
      <w:r w:rsidRPr="00EE49C9">
        <w:rPr>
          <w:rFonts w:ascii="Gambria" w:hAnsi="Gambria" w:cs="Arial"/>
          <w:sz w:val="22"/>
          <w:szCs w:val="22"/>
        </w:rPr>
        <w:t>na zdrav</w:t>
      </w:r>
      <w:r w:rsidRPr="00EE49C9">
        <w:rPr>
          <w:rFonts w:ascii="Gambria" w:hAnsi="Gambria" w:cs="Arial" w:hint="eastAsia"/>
          <w:sz w:val="22"/>
          <w:szCs w:val="22"/>
        </w:rPr>
        <w:t>í</w:t>
      </w:r>
      <w:r w:rsidRPr="00EE49C9">
        <w:rPr>
          <w:rFonts w:ascii="Gambria" w:hAnsi="Gambria" w:cs="Arial"/>
          <w:sz w:val="22"/>
          <w:szCs w:val="22"/>
        </w:rPr>
        <w:t>, ak poisten</w:t>
      </w:r>
      <w:r w:rsidRPr="00EE49C9">
        <w:rPr>
          <w:rFonts w:ascii="Gambria" w:hAnsi="Gambria" w:cs="Arial" w:hint="eastAsia"/>
          <w:sz w:val="22"/>
          <w:szCs w:val="22"/>
        </w:rPr>
        <w:t>ý</w:t>
      </w:r>
      <w:r w:rsidRPr="00EE49C9">
        <w:rPr>
          <w:rFonts w:ascii="Gambria" w:hAnsi="Gambria" w:cs="Arial"/>
          <w:sz w:val="22"/>
          <w:szCs w:val="22"/>
        </w:rPr>
        <w:t xml:space="preserve"> za tak</w:t>
      </w:r>
      <w:r w:rsidRPr="00EE49C9">
        <w:rPr>
          <w:rFonts w:ascii="Gambria" w:hAnsi="Gambria" w:cs="Arial" w:hint="eastAsia"/>
          <w:sz w:val="22"/>
          <w:szCs w:val="22"/>
        </w:rPr>
        <w:t>ú</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kodu zodpoved</w:t>
      </w:r>
      <w:r w:rsidRPr="00EE49C9">
        <w:rPr>
          <w:rFonts w:ascii="Gambria" w:hAnsi="Gambria" w:cs="Arial" w:hint="eastAsia"/>
          <w:sz w:val="22"/>
          <w:szCs w:val="22"/>
        </w:rPr>
        <w:t>á</w:t>
      </w:r>
      <w:r w:rsidRPr="00EE49C9">
        <w:rPr>
          <w:rFonts w:ascii="Gambria" w:hAnsi="Gambria" w:cs="Arial"/>
          <w:sz w:val="22"/>
          <w:szCs w:val="22"/>
        </w:rPr>
        <w:t xml:space="preserve"> pod</w:t>
      </w:r>
      <w:r w:rsidRPr="00EE49C9">
        <w:rPr>
          <w:rFonts w:ascii="Gambria" w:hAnsi="Gambria" w:cs="Arial" w:hint="eastAsia"/>
          <w:sz w:val="22"/>
          <w:szCs w:val="22"/>
        </w:rPr>
        <w:t>ľ</w:t>
      </w:r>
      <w:r w:rsidRPr="00EE49C9">
        <w:rPr>
          <w:rFonts w:ascii="Gambria" w:hAnsi="Gambria" w:cs="Arial"/>
          <w:sz w:val="22"/>
          <w:szCs w:val="22"/>
        </w:rPr>
        <w:t>a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vnych predpisov, vr</w:t>
      </w:r>
      <w:r w:rsidRPr="00EE49C9">
        <w:rPr>
          <w:rFonts w:ascii="Gambria" w:hAnsi="Gambria" w:cs="Arial" w:hint="eastAsia"/>
          <w:sz w:val="22"/>
          <w:szCs w:val="22"/>
        </w:rPr>
        <w:t>á</w:t>
      </w:r>
      <w:r w:rsidRPr="00EE49C9">
        <w:rPr>
          <w:rFonts w:ascii="Gambria" w:hAnsi="Gambria" w:cs="Arial"/>
          <w:sz w:val="22"/>
          <w:szCs w:val="22"/>
        </w:rPr>
        <w:t xml:space="preserve">tane zodpovednosti za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w:t>
      </w:r>
      <w:proofErr w:type="spellStart"/>
      <w:r w:rsidRPr="00EE49C9">
        <w:rPr>
          <w:rFonts w:ascii="Gambria" w:hAnsi="Gambria" w:cs="Arial"/>
          <w:sz w:val="22"/>
          <w:szCs w:val="22"/>
        </w:rPr>
        <w:t>vadn</w:t>
      </w:r>
      <w:r w:rsidRPr="00EE49C9">
        <w:rPr>
          <w:rFonts w:ascii="Gambria" w:hAnsi="Gambria" w:cs="Arial" w:hint="eastAsia"/>
          <w:sz w:val="22"/>
          <w:szCs w:val="22"/>
        </w:rPr>
        <w:t>ý</w:t>
      </w:r>
      <w:r w:rsidRPr="00EE49C9">
        <w:rPr>
          <w:rFonts w:ascii="Gambria" w:hAnsi="Gambria" w:cs="Arial"/>
          <w:sz w:val="22"/>
          <w:szCs w:val="22"/>
        </w:rPr>
        <w:t>m</w:t>
      </w:r>
      <w:proofErr w:type="spellEnd"/>
      <w:r w:rsidRPr="00EE49C9">
        <w:rPr>
          <w:rFonts w:ascii="Gambria" w:hAnsi="Gambria" w:cs="Arial"/>
          <w:sz w:val="22"/>
          <w:szCs w:val="22"/>
        </w:rPr>
        <w:t xml:space="preserve"> v</w:t>
      </w:r>
      <w:r w:rsidRPr="00EE49C9">
        <w:rPr>
          <w:rFonts w:ascii="Gambria" w:hAnsi="Gambria" w:cs="Arial" w:hint="eastAsia"/>
          <w:sz w:val="22"/>
          <w:szCs w:val="22"/>
        </w:rPr>
        <w:t>ý</w:t>
      </w:r>
      <w:r w:rsidRPr="00EE49C9">
        <w:rPr>
          <w:rFonts w:ascii="Gambria" w:hAnsi="Gambria" w:cs="Arial"/>
          <w:sz w:val="22"/>
          <w:szCs w:val="22"/>
        </w:rPr>
        <w:t>robkom.</w:t>
      </w:r>
    </w:p>
    <w:p w14:paraId="184B374B"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cs="Arial"/>
          <w:sz w:val="22"/>
          <w:szCs w:val="22"/>
        </w:rPr>
      </w:pPr>
      <w:r w:rsidRPr="00EE49C9">
        <w:rPr>
          <w:rFonts w:ascii="Gambria" w:hAnsi="Gambria" w:cs="Arial" w:hint="eastAsia"/>
          <w:sz w:val="22"/>
          <w:szCs w:val="22"/>
        </w:rPr>
        <w:t>Š</w:t>
      </w:r>
      <w:r w:rsidRPr="00EE49C9">
        <w:rPr>
          <w:rFonts w:ascii="Gambria" w:hAnsi="Gambria" w:cs="Arial"/>
          <w:sz w:val="22"/>
          <w:szCs w:val="22"/>
        </w:rPr>
        <w:t>koda znamen</w:t>
      </w:r>
      <w:r w:rsidRPr="00EE49C9">
        <w:rPr>
          <w:rFonts w:ascii="Gambria" w:hAnsi="Gambria" w:cs="Arial" w:hint="eastAsia"/>
          <w:sz w:val="22"/>
          <w:szCs w:val="22"/>
        </w:rPr>
        <w:t>á</w:t>
      </w:r>
      <w:r w:rsidRPr="00EE49C9">
        <w:rPr>
          <w:rFonts w:ascii="Gambria" w:hAnsi="Gambria" w:cs="Arial"/>
          <w:sz w:val="22"/>
          <w:szCs w:val="22"/>
        </w:rPr>
        <w:t xml:space="preserve"> </w:t>
      </w:r>
      <w:r w:rsidRPr="00EE49C9">
        <w:rPr>
          <w:rFonts w:ascii="Gambria" w:hAnsi="Gambria" w:cs="Arial" w:hint="eastAsia"/>
          <w:sz w:val="22"/>
          <w:szCs w:val="22"/>
        </w:rPr>
        <w:t>š</w:t>
      </w:r>
      <w:r w:rsidRPr="00EE49C9">
        <w:rPr>
          <w:rFonts w:ascii="Gambria" w:hAnsi="Gambria" w:cs="Arial"/>
          <w:sz w:val="22"/>
          <w:szCs w:val="22"/>
        </w:rPr>
        <w:t xml:space="preserve">kodu na veci a/alebo </w:t>
      </w:r>
      <w:r w:rsidRPr="00EE49C9">
        <w:rPr>
          <w:rFonts w:ascii="Gambria" w:hAnsi="Gambria" w:cs="Arial" w:hint="eastAsia"/>
          <w:sz w:val="22"/>
          <w:szCs w:val="22"/>
        </w:rPr>
        <w:t>š</w:t>
      </w:r>
      <w:r w:rsidRPr="00EE49C9">
        <w:rPr>
          <w:rFonts w:ascii="Gambria" w:hAnsi="Gambria" w:cs="Arial"/>
          <w:sz w:val="22"/>
          <w:szCs w:val="22"/>
        </w:rPr>
        <w:t>kodu na zdrav</w:t>
      </w:r>
      <w:r w:rsidRPr="00EE49C9">
        <w:rPr>
          <w:rFonts w:ascii="Gambria" w:hAnsi="Gambria" w:cs="Arial" w:hint="eastAsia"/>
          <w:sz w:val="22"/>
          <w:szCs w:val="22"/>
        </w:rPr>
        <w:t>í</w:t>
      </w:r>
      <w:r w:rsidRPr="00EE49C9">
        <w:rPr>
          <w:rFonts w:ascii="Gambria" w:hAnsi="Gambria" w:cs="Arial"/>
          <w:sz w:val="22"/>
          <w:szCs w:val="22"/>
        </w:rPr>
        <w:t>:</w:t>
      </w:r>
    </w:p>
    <w:p w14:paraId="1894E4E8" w14:textId="77777777" w:rsidR="00A1602B" w:rsidRPr="00EE49C9" w:rsidRDefault="00A1602B" w:rsidP="00A1602B">
      <w:pPr>
        <w:numPr>
          <w:ilvl w:val="0"/>
          <w:numId w:val="23"/>
        </w:numPr>
        <w:spacing w:line="259" w:lineRule="auto"/>
        <w:ind w:left="567" w:hanging="567"/>
        <w:jc w:val="both"/>
        <w:rPr>
          <w:rFonts w:ascii="Gambria" w:hAnsi="Gambria"/>
          <w:b/>
          <w:sz w:val="22"/>
          <w:szCs w:val="22"/>
        </w:rPr>
      </w:pPr>
      <w:r w:rsidRPr="00EE49C9">
        <w:rPr>
          <w:rFonts w:ascii="Gambria" w:hAnsi="Gambria" w:cs="Arial" w:hint="eastAsia"/>
          <w:b/>
          <w:sz w:val="22"/>
          <w:szCs w:val="22"/>
        </w:rPr>
        <w:t>Š</w:t>
      </w:r>
      <w:r w:rsidRPr="00EE49C9">
        <w:rPr>
          <w:rFonts w:ascii="Gambria" w:hAnsi="Gambria" w:cs="Arial"/>
          <w:b/>
          <w:sz w:val="22"/>
          <w:szCs w:val="22"/>
        </w:rPr>
        <w:t>koda na veci</w:t>
      </w:r>
      <w:r w:rsidRPr="00EE49C9">
        <w:rPr>
          <w:rFonts w:ascii="Gambria" w:hAnsi="Gambria" w:cs="Arial"/>
          <w:sz w:val="22"/>
          <w:szCs w:val="22"/>
        </w:rPr>
        <w:t xml:space="preserve"> znamen</w:t>
      </w:r>
      <w:r w:rsidRPr="00EE49C9">
        <w:rPr>
          <w:rFonts w:ascii="Gambria" w:hAnsi="Gambria" w:cs="Arial" w:hint="eastAsia"/>
          <w:sz w:val="22"/>
          <w:szCs w:val="22"/>
        </w:rPr>
        <w:t>á</w:t>
      </w:r>
      <w:r w:rsidRPr="00EE49C9">
        <w:rPr>
          <w:rFonts w:ascii="Gambria" w:hAnsi="Gambria" w:cs="Arial"/>
          <w:sz w:val="22"/>
          <w:szCs w:val="22"/>
        </w:rPr>
        <w:t xml:space="preserve"> fyzick</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kodenie,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 strata, alebo zni</w:t>
      </w:r>
      <w:r w:rsidRPr="00EE49C9">
        <w:rPr>
          <w:rFonts w:ascii="Gambria" w:hAnsi="Gambria" w:cs="Arial" w:hint="eastAsia"/>
          <w:sz w:val="22"/>
          <w:szCs w:val="22"/>
        </w:rPr>
        <w:t>č</w:t>
      </w:r>
      <w:r w:rsidRPr="00EE49C9">
        <w:rPr>
          <w:rFonts w:ascii="Gambria" w:hAnsi="Gambria" w:cs="Arial"/>
          <w:sz w:val="22"/>
          <w:szCs w:val="22"/>
        </w:rPr>
        <w:t>enie hmotnej veci vr</w:t>
      </w:r>
      <w:r w:rsidRPr="00EE49C9">
        <w:rPr>
          <w:rFonts w:ascii="Gambria" w:hAnsi="Gambria" w:cs="Arial" w:hint="eastAsia"/>
          <w:sz w:val="22"/>
          <w:szCs w:val="22"/>
        </w:rPr>
        <w:t>á</w:t>
      </w:r>
      <w:r w:rsidRPr="00EE49C9">
        <w:rPr>
          <w:rFonts w:ascii="Gambria" w:hAnsi="Gambria" w:cs="Arial"/>
          <w:sz w:val="22"/>
          <w:szCs w:val="22"/>
        </w:rPr>
        <w:t>tane n</w:t>
      </w:r>
      <w:r w:rsidRPr="00EE49C9">
        <w:rPr>
          <w:rFonts w:ascii="Gambria" w:hAnsi="Gambria" w:cs="Arial" w:hint="eastAsia"/>
          <w:sz w:val="22"/>
          <w:szCs w:val="22"/>
        </w:rPr>
        <w:t>á</w:t>
      </w:r>
      <w:r w:rsidRPr="00EE49C9">
        <w:rPr>
          <w:rFonts w:ascii="Gambria" w:hAnsi="Gambria" w:cs="Arial"/>
          <w:sz w:val="22"/>
          <w:szCs w:val="22"/>
        </w:rPr>
        <w:t>slednej majetkovej ujmy alebo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cich zo straty funk</w:t>
      </w:r>
      <w:r w:rsidRPr="00EE49C9">
        <w:rPr>
          <w:rFonts w:ascii="Gambria" w:hAnsi="Gambria" w:cs="Arial" w:hint="eastAsia"/>
          <w:sz w:val="22"/>
          <w:szCs w:val="22"/>
        </w:rPr>
        <w:t>č</w:t>
      </w:r>
      <w:r w:rsidRPr="00EE49C9">
        <w:rPr>
          <w:rFonts w:ascii="Gambria" w:hAnsi="Gambria" w:cs="Arial"/>
          <w:sz w:val="22"/>
          <w:szCs w:val="22"/>
        </w:rPr>
        <w:t>nosti alebo mo</w:t>
      </w:r>
      <w:r w:rsidRPr="00EE49C9">
        <w:rPr>
          <w:rFonts w:ascii="Gambria" w:hAnsi="Gambria" w:cs="Arial" w:hint="eastAsia"/>
          <w:sz w:val="22"/>
          <w:szCs w:val="22"/>
        </w:rPr>
        <w:t>ž</w:t>
      </w:r>
      <w:r w:rsidRPr="00EE49C9">
        <w:rPr>
          <w:rFonts w:ascii="Gambria" w:hAnsi="Gambria" w:cs="Arial"/>
          <w:sz w:val="22"/>
          <w:szCs w:val="22"/>
        </w:rPr>
        <w:t>nosti pou</w:t>
      </w:r>
      <w:r w:rsidRPr="00EE49C9">
        <w:rPr>
          <w:rFonts w:ascii="Gambria" w:hAnsi="Gambria" w:cs="Arial" w:hint="eastAsia"/>
          <w:sz w:val="22"/>
          <w:szCs w:val="22"/>
        </w:rPr>
        <w:t>ží</w:t>
      </w:r>
      <w:r w:rsidRPr="00EE49C9">
        <w:rPr>
          <w:rFonts w:ascii="Gambria" w:hAnsi="Gambria" w:cs="Arial"/>
          <w:sz w:val="22"/>
          <w:szCs w:val="22"/>
        </w:rPr>
        <w:t>va</w:t>
      </w:r>
      <w:r w:rsidRPr="00EE49C9">
        <w:rPr>
          <w:rFonts w:ascii="Gambria" w:hAnsi="Gambria" w:cs="Arial" w:hint="eastAsia"/>
          <w:sz w:val="22"/>
          <w:szCs w:val="22"/>
        </w:rPr>
        <w:t>ť</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ú</w:t>
      </w:r>
      <w:r w:rsidRPr="00EE49C9">
        <w:rPr>
          <w:rFonts w:ascii="Gambria" w:hAnsi="Gambria" w:cs="Arial"/>
          <w:sz w:val="22"/>
          <w:szCs w:val="22"/>
        </w:rPr>
        <w:t xml:space="preserve"> vec.</w:t>
      </w:r>
    </w:p>
    <w:p w14:paraId="231E55A6" w14:textId="77777777" w:rsidR="00A1602B" w:rsidRPr="00EE49C9" w:rsidRDefault="00A1602B" w:rsidP="00A1602B">
      <w:pPr>
        <w:numPr>
          <w:ilvl w:val="0"/>
          <w:numId w:val="23"/>
        </w:numPr>
        <w:spacing w:line="259" w:lineRule="auto"/>
        <w:ind w:left="567" w:hanging="567"/>
        <w:jc w:val="both"/>
        <w:rPr>
          <w:rFonts w:ascii="Gambria" w:hAnsi="Gambria"/>
          <w:b/>
          <w:sz w:val="22"/>
          <w:szCs w:val="22"/>
        </w:rPr>
      </w:pPr>
      <w:r w:rsidRPr="00EE49C9">
        <w:rPr>
          <w:rFonts w:ascii="Gambria" w:hAnsi="Gambria" w:cs="Arial" w:hint="eastAsia"/>
          <w:b/>
          <w:sz w:val="22"/>
          <w:szCs w:val="22"/>
        </w:rPr>
        <w:t>Š</w:t>
      </w:r>
      <w:r w:rsidRPr="00EE49C9">
        <w:rPr>
          <w:rFonts w:ascii="Gambria" w:hAnsi="Gambria" w:cs="Arial"/>
          <w:b/>
          <w:sz w:val="22"/>
          <w:szCs w:val="22"/>
        </w:rPr>
        <w:t>koda na zdrav</w:t>
      </w:r>
      <w:r w:rsidRPr="00EE49C9">
        <w:rPr>
          <w:rFonts w:ascii="Gambria" w:hAnsi="Gambria" w:cs="Arial" w:hint="eastAsia"/>
          <w:b/>
          <w:sz w:val="22"/>
          <w:szCs w:val="22"/>
        </w:rPr>
        <w:t>í</w:t>
      </w:r>
      <w:r w:rsidRPr="00EE49C9">
        <w:rPr>
          <w:rFonts w:ascii="Gambria" w:hAnsi="Gambria" w:cs="Arial"/>
          <w:sz w:val="22"/>
          <w:szCs w:val="22"/>
        </w:rPr>
        <w:t xml:space="preserve"> znamen</w:t>
      </w:r>
      <w:r w:rsidRPr="00EE49C9">
        <w:rPr>
          <w:rFonts w:ascii="Gambria" w:hAnsi="Gambria" w:cs="Arial" w:hint="eastAsia"/>
          <w:sz w:val="22"/>
          <w:szCs w:val="22"/>
        </w:rPr>
        <w:t>á</w:t>
      </w:r>
      <w:r w:rsidRPr="00EE49C9">
        <w:rPr>
          <w:rFonts w:ascii="Gambria" w:hAnsi="Gambria" w:cs="Arial"/>
          <w:sz w:val="22"/>
          <w:szCs w:val="22"/>
        </w:rPr>
        <w:t xml:space="preserve"> telesn</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kodenie osoby vr</w:t>
      </w:r>
      <w:r w:rsidRPr="00EE49C9">
        <w:rPr>
          <w:rFonts w:ascii="Gambria" w:hAnsi="Gambria" w:cs="Arial" w:hint="eastAsia"/>
          <w:sz w:val="22"/>
          <w:szCs w:val="22"/>
        </w:rPr>
        <w:t>á</w:t>
      </w:r>
      <w:r w:rsidRPr="00EE49C9">
        <w:rPr>
          <w:rFonts w:ascii="Gambria" w:hAnsi="Gambria" w:cs="Arial"/>
          <w:sz w:val="22"/>
          <w:szCs w:val="22"/>
        </w:rPr>
        <w:t>tane choroby alebo usmrtenia a z nich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ca majetkov</w:t>
      </w:r>
      <w:r w:rsidRPr="00EE49C9">
        <w:rPr>
          <w:rFonts w:ascii="Gambria" w:hAnsi="Gambria" w:cs="Arial" w:hint="eastAsia"/>
          <w:sz w:val="22"/>
          <w:szCs w:val="22"/>
        </w:rPr>
        <w:t>á</w:t>
      </w:r>
      <w:r w:rsidRPr="00EE49C9">
        <w:rPr>
          <w:rFonts w:ascii="Gambria" w:hAnsi="Gambria" w:cs="Arial"/>
          <w:sz w:val="22"/>
          <w:szCs w:val="22"/>
        </w:rPr>
        <w:t xml:space="preserve"> ujma vr</w:t>
      </w:r>
      <w:r w:rsidRPr="00EE49C9">
        <w:rPr>
          <w:rFonts w:ascii="Gambria" w:hAnsi="Gambria" w:cs="Arial" w:hint="eastAsia"/>
          <w:sz w:val="22"/>
          <w:szCs w:val="22"/>
        </w:rPr>
        <w:t>á</w:t>
      </w:r>
      <w:r w:rsidRPr="00EE49C9">
        <w:rPr>
          <w:rFonts w:ascii="Gambria" w:hAnsi="Gambria" w:cs="Arial"/>
          <w:sz w:val="22"/>
          <w:szCs w:val="22"/>
        </w:rPr>
        <w:t>tane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w:t>
      </w:r>
    </w:p>
    <w:p w14:paraId="5DC89213"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V</w:t>
      </w:r>
      <w:r w:rsidRPr="00EE49C9">
        <w:rPr>
          <w:rFonts w:ascii="Gambria" w:hAnsi="Gambria" w:cs="Arial" w:hint="eastAsia"/>
          <w:b/>
          <w:sz w:val="22"/>
          <w:szCs w:val="22"/>
        </w:rPr>
        <w:t>ý</w:t>
      </w:r>
      <w:r w:rsidRPr="00EE49C9">
        <w:rPr>
          <w:rFonts w:ascii="Gambria" w:hAnsi="Gambria" w:cs="Arial"/>
          <w:b/>
          <w:sz w:val="22"/>
          <w:szCs w:val="22"/>
        </w:rPr>
        <w:t>robok</w:t>
      </w:r>
      <w:r w:rsidRPr="00EE49C9">
        <w:rPr>
          <w:rFonts w:ascii="Gambria" w:hAnsi="Gambria" w:cs="Arial"/>
          <w:sz w:val="22"/>
          <w:szCs w:val="22"/>
        </w:rPr>
        <w:t xml:space="preserve"> je:</w:t>
      </w:r>
    </w:p>
    <w:p w14:paraId="7298DBC2" w14:textId="77777777" w:rsidR="00A1602B" w:rsidRPr="00EE49C9" w:rsidRDefault="00A1602B" w:rsidP="00A1602B">
      <w:pPr>
        <w:numPr>
          <w:ilvl w:val="0"/>
          <w:numId w:val="24"/>
        </w:numPr>
        <w:spacing w:line="259" w:lineRule="auto"/>
        <w:ind w:left="567" w:hanging="567"/>
        <w:jc w:val="both"/>
        <w:rPr>
          <w:rFonts w:ascii="Gambria" w:hAnsi="Gambria"/>
          <w:b/>
          <w:sz w:val="22"/>
          <w:szCs w:val="22"/>
        </w:rPr>
      </w:pPr>
      <w:r w:rsidRPr="00EE49C9">
        <w:rPr>
          <w:rFonts w:ascii="Gambria" w:hAnsi="Gambria" w:cs="Arial"/>
          <w:sz w:val="22"/>
          <w:szCs w:val="22"/>
        </w:rPr>
        <w:t>ak</w:t>
      </w:r>
      <w:r w:rsidRPr="00EE49C9">
        <w:rPr>
          <w:rFonts w:ascii="Gambria" w:hAnsi="Gambria" w:cs="Arial" w:hint="eastAsia"/>
          <w:sz w:val="22"/>
          <w:szCs w:val="22"/>
        </w:rPr>
        <w:t>á</w:t>
      </w:r>
      <w:r w:rsidRPr="00EE49C9">
        <w:rPr>
          <w:rFonts w:ascii="Gambria" w:hAnsi="Gambria" w:cs="Arial"/>
          <w:sz w:val="22"/>
          <w:szCs w:val="22"/>
        </w:rPr>
        <w:t>ko</w:t>
      </w:r>
      <w:r w:rsidRPr="00EE49C9">
        <w:rPr>
          <w:rFonts w:ascii="Gambria" w:hAnsi="Gambria" w:cs="Arial" w:hint="eastAsia"/>
          <w:sz w:val="22"/>
          <w:szCs w:val="22"/>
        </w:rPr>
        <w:t>ľ</w:t>
      </w:r>
      <w:r w:rsidRPr="00EE49C9">
        <w:rPr>
          <w:rFonts w:ascii="Gambria" w:hAnsi="Gambria" w:cs="Arial"/>
          <w:sz w:val="22"/>
          <w:szCs w:val="22"/>
        </w:rPr>
        <w:t>vek vec vy</w:t>
      </w:r>
      <w:r w:rsidRPr="00EE49C9">
        <w:rPr>
          <w:rFonts w:ascii="Gambria" w:hAnsi="Gambria" w:cs="Arial" w:hint="eastAsia"/>
          <w:sz w:val="22"/>
          <w:szCs w:val="22"/>
        </w:rPr>
        <w:t>ť</w:t>
      </w:r>
      <w:r w:rsidRPr="00EE49C9">
        <w:rPr>
          <w:rFonts w:ascii="Gambria" w:hAnsi="Gambria" w:cs="Arial"/>
          <w:sz w:val="22"/>
          <w:szCs w:val="22"/>
        </w:rPr>
        <w:t>a</w:t>
      </w:r>
      <w:r w:rsidRPr="00EE49C9">
        <w:rPr>
          <w:rFonts w:ascii="Gambria" w:hAnsi="Gambria" w:cs="Arial" w:hint="eastAsia"/>
          <w:sz w:val="22"/>
          <w:szCs w:val="22"/>
        </w:rPr>
        <w:t>ž</w:t>
      </w:r>
      <w:r w:rsidRPr="00EE49C9">
        <w:rPr>
          <w:rFonts w:ascii="Gambria" w:hAnsi="Gambria" w:cs="Arial"/>
          <w:sz w:val="22"/>
          <w:szCs w:val="22"/>
        </w:rPr>
        <w:t>en</w:t>
      </w:r>
      <w:r w:rsidRPr="00EE49C9">
        <w:rPr>
          <w:rFonts w:ascii="Gambria" w:hAnsi="Gambria" w:cs="Arial" w:hint="eastAsia"/>
          <w:sz w:val="22"/>
          <w:szCs w:val="22"/>
        </w:rPr>
        <w:t>á</w:t>
      </w:r>
      <w:r w:rsidRPr="00EE49C9">
        <w:rPr>
          <w:rFonts w:ascii="Gambria" w:hAnsi="Gambria" w:cs="Arial"/>
          <w:sz w:val="22"/>
          <w:szCs w:val="22"/>
        </w:rPr>
        <w:t>, vyroben</w:t>
      </w:r>
      <w:r w:rsidRPr="00EE49C9">
        <w:rPr>
          <w:rFonts w:ascii="Gambria" w:hAnsi="Gambria" w:cs="Arial" w:hint="eastAsia"/>
          <w:sz w:val="22"/>
          <w:szCs w:val="22"/>
        </w:rPr>
        <w:t>á</w:t>
      </w:r>
      <w:r w:rsidRPr="00EE49C9">
        <w:rPr>
          <w:rFonts w:ascii="Gambria" w:hAnsi="Gambria" w:cs="Arial"/>
          <w:sz w:val="22"/>
          <w:szCs w:val="22"/>
        </w:rPr>
        <w:t>, opracovan</w:t>
      </w:r>
      <w:r w:rsidRPr="00EE49C9">
        <w:rPr>
          <w:rFonts w:ascii="Gambria" w:hAnsi="Gambria" w:cs="Arial" w:hint="eastAsia"/>
          <w:sz w:val="22"/>
          <w:szCs w:val="22"/>
        </w:rPr>
        <w:t>á</w:t>
      </w:r>
      <w:r w:rsidRPr="00EE49C9">
        <w:rPr>
          <w:rFonts w:ascii="Gambria" w:hAnsi="Gambria" w:cs="Arial"/>
          <w:sz w:val="22"/>
          <w:szCs w:val="22"/>
        </w:rPr>
        <w:t>, predan</w:t>
      </w:r>
      <w:r w:rsidRPr="00EE49C9">
        <w:rPr>
          <w:rFonts w:ascii="Gambria" w:hAnsi="Gambria" w:cs="Arial" w:hint="eastAsia"/>
          <w:sz w:val="22"/>
          <w:szCs w:val="22"/>
        </w:rPr>
        <w:t>á</w:t>
      </w:r>
      <w:r w:rsidRPr="00EE49C9">
        <w:rPr>
          <w:rFonts w:ascii="Gambria" w:hAnsi="Gambria" w:cs="Arial"/>
          <w:sz w:val="22"/>
          <w:szCs w:val="22"/>
        </w:rPr>
        <w:t>, distribuovan</w:t>
      </w:r>
      <w:r w:rsidRPr="00EE49C9">
        <w:rPr>
          <w:rFonts w:ascii="Gambria" w:hAnsi="Gambria" w:cs="Arial" w:hint="eastAsia"/>
          <w:sz w:val="22"/>
          <w:szCs w:val="22"/>
        </w:rPr>
        <w:t>á</w:t>
      </w:r>
      <w:r w:rsidRPr="00EE49C9">
        <w:rPr>
          <w:rFonts w:ascii="Gambria" w:hAnsi="Gambria" w:cs="Arial"/>
          <w:sz w:val="22"/>
          <w:szCs w:val="22"/>
        </w:rPr>
        <w:t xml:space="preserve"> alebo dan</w:t>
      </w:r>
      <w:r w:rsidRPr="00EE49C9">
        <w:rPr>
          <w:rFonts w:ascii="Gambria" w:hAnsi="Gambria" w:cs="Arial" w:hint="eastAsia"/>
          <w:sz w:val="22"/>
          <w:szCs w:val="22"/>
        </w:rPr>
        <w:t>á</w:t>
      </w:r>
      <w:r w:rsidRPr="00EE49C9">
        <w:rPr>
          <w:rFonts w:ascii="Gambria" w:hAnsi="Gambria" w:cs="Arial"/>
          <w:sz w:val="22"/>
          <w:szCs w:val="22"/>
        </w:rPr>
        <w:t xml:space="preserve"> do obehu poisten</w:t>
      </w:r>
      <w:r w:rsidRPr="00EE49C9">
        <w:rPr>
          <w:rFonts w:ascii="Gambria" w:hAnsi="Gambria" w:cs="Arial" w:hint="eastAsia"/>
          <w:sz w:val="22"/>
          <w:szCs w:val="22"/>
        </w:rPr>
        <w:t>ý</w:t>
      </w:r>
      <w:r w:rsidRPr="00EE49C9">
        <w:rPr>
          <w:rFonts w:ascii="Gambria" w:hAnsi="Gambria" w:cs="Arial"/>
          <w:sz w:val="22"/>
          <w:szCs w:val="22"/>
        </w:rPr>
        <w:t>m alebo n</w:t>
      </w:r>
      <w:r w:rsidRPr="00EE49C9">
        <w:rPr>
          <w:rFonts w:ascii="Gambria" w:hAnsi="Gambria" w:cs="Arial" w:hint="eastAsia"/>
          <w:sz w:val="22"/>
          <w:szCs w:val="22"/>
        </w:rPr>
        <w:t>í</w:t>
      </w:r>
      <w:r w:rsidRPr="00EE49C9">
        <w:rPr>
          <w:rFonts w:ascii="Gambria" w:hAnsi="Gambria" w:cs="Arial"/>
          <w:sz w:val="22"/>
          <w:szCs w:val="22"/>
        </w:rPr>
        <w:t>m poverenou osobou</w:t>
      </w:r>
    </w:p>
    <w:p w14:paraId="6D33A127" w14:textId="77777777" w:rsidR="00A1602B" w:rsidRPr="00EE49C9" w:rsidRDefault="00A1602B" w:rsidP="00A1602B">
      <w:pPr>
        <w:numPr>
          <w:ilvl w:val="0"/>
          <w:numId w:val="24"/>
        </w:numPr>
        <w:spacing w:line="259" w:lineRule="auto"/>
        <w:ind w:left="567" w:hanging="567"/>
        <w:jc w:val="both"/>
        <w:rPr>
          <w:rFonts w:ascii="Gambria" w:hAnsi="Gambria"/>
          <w:b/>
          <w:sz w:val="22"/>
          <w:szCs w:val="22"/>
        </w:rPr>
      </w:pPr>
      <w:r w:rsidRPr="00EE49C9">
        <w:rPr>
          <w:rFonts w:ascii="Gambria" w:hAnsi="Gambria" w:cs="Arial"/>
          <w:sz w:val="22"/>
          <w:szCs w:val="22"/>
        </w:rPr>
        <w:t>pr</w:t>
      </w:r>
      <w:r w:rsidRPr="00EE49C9">
        <w:rPr>
          <w:rFonts w:ascii="Gambria" w:hAnsi="Gambria" w:cs="Arial" w:hint="eastAsia"/>
          <w:sz w:val="22"/>
          <w:szCs w:val="22"/>
        </w:rPr>
        <w:t>á</w:t>
      </w:r>
      <w:r w:rsidRPr="00EE49C9">
        <w:rPr>
          <w:rFonts w:ascii="Gambria" w:hAnsi="Gambria" w:cs="Arial"/>
          <w:sz w:val="22"/>
          <w:szCs w:val="22"/>
        </w:rPr>
        <w:t>ca vykonan</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m alebo n</w:t>
      </w:r>
      <w:r w:rsidRPr="00EE49C9">
        <w:rPr>
          <w:rFonts w:ascii="Gambria" w:hAnsi="Gambria" w:cs="Arial" w:hint="eastAsia"/>
          <w:sz w:val="22"/>
          <w:szCs w:val="22"/>
        </w:rPr>
        <w:t>í</w:t>
      </w:r>
      <w:r w:rsidRPr="00EE49C9">
        <w:rPr>
          <w:rFonts w:ascii="Gambria" w:hAnsi="Gambria" w:cs="Arial"/>
          <w:sz w:val="22"/>
          <w:szCs w:val="22"/>
        </w:rPr>
        <w:t>m poverenou osobou, vr</w:t>
      </w:r>
      <w:r w:rsidRPr="00EE49C9">
        <w:rPr>
          <w:rFonts w:ascii="Gambria" w:hAnsi="Gambria" w:cs="Arial" w:hint="eastAsia"/>
          <w:sz w:val="22"/>
          <w:szCs w:val="22"/>
        </w:rPr>
        <w:t>á</w:t>
      </w:r>
      <w:r w:rsidRPr="00EE49C9">
        <w:rPr>
          <w:rFonts w:ascii="Gambria" w:hAnsi="Gambria" w:cs="Arial"/>
          <w:sz w:val="22"/>
          <w:szCs w:val="22"/>
        </w:rPr>
        <w:t>tane materi</w:t>
      </w:r>
      <w:r w:rsidRPr="00EE49C9">
        <w:rPr>
          <w:rFonts w:ascii="Gambria" w:hAnsi="Gambria" w:cs="Arial" w:hint="eastAsia"/>
          <w:sz w:val="22"/>
          <w:szCs w:val="22"/>
        </w:rPr>
        <w:t>á</w:t>
      </w:r>
      <w:r w:rsidRPr="00EE49C9">
        <w:rPr>
          <w:rFonts w:ascii="Gambria" w:hAnsi="Gambria" w:cs="Arial"/>
          <w:sz w:val="22"/>
          <w:szCs w:val="22"/>
        </w:rPr>
        <w:t>lu, alebo komponentov poskytnut</w:t>
      </w:r>
      <w:r w:rsidRPr="00EE49C9">
        <w:rPr>
          <w:rFonts w:ascii="Gambria" w:hAnsi="Gambria" w:cs="Arial" w:hint="eastAsia"/>
          <w:sz w:val="22"/>
          <w:szCs w:val="22"/>
        </w:rPr>
        <w:t>ý</w:t>
      </w:r>
      <w:r w:rsidRPr="00EE49C9">
        <w:rPr>
          <w:rFonts w:ascii="Gambria" w:hAnsi="Gambria" w:cs="Arial"/>
          <w:sz w:val="22"/>
          <w:szCs w:val="22"/>
        </w:rPr>
        <w:t>ch v s</w:t>
      </w:r>
      <w:r w:rsidRPr="00EE49C9">
        <w:rPr>
          <w:rFonts w:ascii="Gambria" w:hAnsi="Gambria" w:cs="Arial" w:hint="eastAsia"/>
          <w:sz w:val="22"/>
          <w:szCs w:val="22"/>
        </w:rPr>
        <w:t>ú</w:t>
      </w:r>
      <w:r w:rsidRPr="00EE49C9">
        <w:rPr>
          <w:rFonts w:ascii="Gambria" w:hAnsi="Gambria" w:cs="Arial"/>
          <w:sz w:val="22"/>
          <w:szCs w:val="22"/>
        </w:rPr>
        <w:t>vislosti s touto pr</w:t>
      </w:r>
      <w:r w:rsidRPr="00EE49C9">
        <w:rPr>
          <w:rFonts w:ascii="Gambria" w:hAnsi="Gambria" w:cs="Arial" w:hint="eastAsia"/>
          <w:sz w:val="22"/>
          <w:szCs w:val="22"/>
        </w:rPr>
        <w:t>á</w:t>
      </w:r>
      <w:r w:rsidRPr="00EE49C9">
        <w:rPr>
          <w:rFonts w:ascii="Gambria" w:hAnsi="Gambria" w:cs="Arial"/>
          <w:sz w:val="22"/>
          <w:szCs w:val="22"/>
        </w:rPr>
        <w:t>cou.</w:t>
      </w:r>
    </w:p>
    <w:p w14:paraId="70BA42C9"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Predmet poistenia</w:t>
      </w:r>
      <w:r w:rsidRPr="00EE49C9">
        <w:rPr>
          <w:rFonts w:ascii="Gambria" w:hAnsi="Gambria" w:cs="Arial"/>
          <w:sz w:val="22"/>
          <w:szCs w:val="22"/>
        </w:rPr>
        <w:t>:</w:t>
      </w:r>
      <w:r w:rsidRPr="00EE49C9">
        <w:rPr>
          <w:rFonts w:ascii="Gambria" w:hAnsi="Gambria" w:cs="Arial"/>
          <w:sz w:val="22"/>
          <w:szCs w:val="22"/>
        </w:rPr>
        <w:tab/>
      </w:r>
      <w:r w:rsidRPr="00EE49C9">
        <w:rPr>
          <w:rFonts w:ascii="Gambria" w:hAnsi="Gambria" w:cs="Arial" w:hint="eastAsia"/>
          <w:sz w:val="22"/>
          <w:szCs w:val="22"/>
        </w:rPr>
        <w:t>č</w:t>
      </w:r>
      <w:r w:rsidRPr="00EE49C9">
        <w:rPr>
          <w:rFonts w:ascii="Gambria" w:hAnsi="Gambria" w:cs="Arial"/>
          <w:sz w:val="22"/>
          <w:szCs w:val="22"/>
        </w:rPr>
        <w:t xml:space="preserve">innosti </w:t>
      </w:r>
      <w:r>
        <w:rPr>
          <w:rFonts w:ascii="Gambria" w:hAnsi="Gambria" w:cs="Arial"/>
          <w:sz w:val="22"/>
          <w:szCs w:val="22"/>
        </w:rPr>
        <w:t>poistníka</w:t>
      </w:r>
      <w:r w:rsidRPr="00EE49C9">
        <w:rPr>
          <w:rFonts w:ascii="Gambria" w:hAnsi="Gambria" w:cs="Arial"/>
          <w:sz w:val="22"/>
          <w:szCs w:val="22"/>
        </w:rPr>
        <w:t xml:space="preserve"> v s</w:t>
      </w:r>
      <w:r w:rsidRPr="00EE49C9">
        <w:rPr>
          <w:rFonts w:ascii="Gambria" w:hAnsi="Gambria" w:cs="Arial" w:hint="eastAsia"/>
          <w:sz w:val="22"/>
          <w:szCs w:val="22"/>
        </w:rPr>
        <w:t>ú</w:t>
      </w:r>
      <w:r w:rsidRPr="00EE49C9">
        <w:rPr>
          <w:rFonts w:ascii="Gambria" w:hAnsi="Gambria" w:cs="Arial"/>
          <w:sz w:val="22"/>
          <w:szCs w:val="22"/>
        </w:rPr>
        <w:t>lade so z</w:t>
      </w:r>
      <w:r w:rsidRPr="00EE49C9">
        <w:rPr>
          <w:rFonts w:ascii="Gambria" w:hAnsi="Gambria" w:cs="Arial" w:hint="eastAsia"/>
          <w:sz w:val="22"/>
          <w:szCs w:val="22"/>
        </w:rPr>
        <w:t>á</w:t>
      </w:r>
      <w:r w:rsidRPr="00EE49C9">
        <w:rPr>
          <w:rFonts w:ascii="Gambria" w:hAnsi="Gambria" w:cs="Arial"/>
          <w:sz w:val="22"/>
          <w:szCs w:val="22"/>
        </w:rPr>
        <w:t xml:space="preserve">konom </w:t>
      </w:r>
      <w:r w:rsidRPr="00EE49C9">
        <w:rPr>
          <w:rFonts w:ascii="Gambria" w:hAnsi="Gambria" w:cs="Arial" w:hint="eastAsia"/>
          <w:sz w:val="22"/>
          <w:szCs w:val="22"/>
        </w:rPr>
        <w:t>č</w:t>
      </w:r>
      <w:r w:rsidRPr="00EE49C9">
        <w:rPr>
          <w:rFonts w:ascii="Gambria" w:hAnsi="Gambria" w:cs="Arial"/>
          <w:sz w:val="22"/>
          <w:szCs w:val="22"/>
        </w:rPr>
        <w:t xml:space="preserve">. </w:t>
      </w:r>
      <w:r w:rsidRPr="00EE49C9">
        <w:rPr>
          <w:rFonts w:ascii="Gambria" w:hAnsi="Gambria" w:cs="Arial" w:hint="eastAsia"/>
          <w:sz w:val="22"/>
          <w:szCs w:val="22"/>
        </w:rPr>
        <w:t>č</w:t>
      </w:r>
      <w:r w:rsidRPr="00EE49C9">
        <w:rPr>
          <w:rFonts w:ascii="Gambria" w:hAnsi="Gambria" w:cs="Arial"/>
          <w:sz w:val="22"/>
          <w:szCs w:val="22"/>
        </w:rPr>
        <w:t>. 566/1992 Zb. o N</w:t>
      </w:r>
      <w:r w:rsidRPr="00EE49C9">
        <w:rPr>
          <w:rFonts w:ascii="Gambria" w:hAnsi="Gambria" w:cs="Arial" w:hint="eastAsia"/>
          <w:sz w:val="22"/>
          <w:szCs w:val="22"/>
        </w:rPr>
        <w:t>á</w:t>
      </w:r>
      <w:r w:rsidRPr="00EE49C9">
        <w:rPr>
          <w:rFonts w:ascii="Gambria" w:hAnsi="Gambria" w:cs="Arial"/>
          <w:sz w:val="22"/>
          <w:szCs w:val="22"/>
        </w:rPr>
        <w:t>rodnej banke Slovenska v znen</w:t>
      </w:r>
      <w:r w:rsidRPr="00EE49C9">
        <w:rPr>
          <w:rFonts w:ascii="Gambria" w:hAnsi="Gambria" w:cs="Arial" w:hint="eastAsia"/>
          <w:sz w:val="22"/>
          <w:szCs w:val="22"/>
        </w:rPr>
        <w:t>í</w:t>
      </w:r>
      <w:r w:rsidRPr="00EE49C9">
        <w:rPr>
          <w:rFonts w:ascii="Gambria" w:hAnsi="Gambria" w:cs="Arial"/>
          <w:sz w:val="22"/>
          <w:szCs w:val="22"/>
        </w:rPr>
        <w:t xml:space="preserve"> neskor</w:t>
      </w:r>
      <w:r w:rsidRPr="00EE49C9">
        <w:rPr>
          <w:rFonts w:ascii="Gambria" w:hAnsi="Gambria" w:cs="Arial" w:hint="eastAsia"/>
          <w:sz w:val="22"/>
          <w:szCs w:val="22"/>
        </w:rPr>
        <w:t>ší</w:t>
      </w:r>
      <w:r w:rsidRPr="00EE49C9">
        <w:rPr>
          <w:rFonts w:ascii="Gambria" w:hAnsi="Gambria" w:cs="Arial"/>
          <w:sz w:val="22"/>
          <w:szCs w:val="22"/>
        </w:rPr>
        <w:t>ch predpisov a 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č</w:t>
      </w:r>
      <w:r w:rsidRPr="00EE49C9">
        <w:rPr>
          <w:rFonts w:ascii="Gambria" w:hAnsi="Gambria" w:cs="Arial"/>
          <w:sz w:val="22"/>
          <w:szCs w:val="22"/>
        </w:rPr>
        <w:t>innosti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ce poisten</w:t>
      </w:r>
      <w:r w:rsidRPr="00EE49C9">
        <w:rPr>
          <w:rFonts w:ascii="Gambria" w:hAnsi="Gambria" w:cs="Arial" w:hint="eastAsia"/>
          <w:sz w:val="22"/>
          <w:szCs w:val="22"/>
        </w:rPr>
        <w:t>é</w:t>
      </w:r>
      <w:r w:rsidRPr="00EE49C9">
        <w:rPr>
          <w:rFonts w:ascii="Gambria" w:hAnsi="Gambria" w:cs="Arial"/>
          <w:sz w:val="22"/>
          <w:szCs w:val="22"/>
        </w:rPr>
        <w:t>mu z platn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 xml:space="preserve">vnych predpisov, </w:t>
      </w:r>
      <w:r w:rsidRPr="00EE49C9">
        <w:rPr>
          <w:rFonts w:ascii="Gambria" w:hAnsi="Gambria" w:cs="Arial" w:hint="eastAsia"/>
          <w:sz w:val="22"/>
          <w:szCs w:val="22"/>
        </w:rPr>
        <w:t>č</w:t>
      </w:r>
      <w:r w:rsidRPr="00EE49C9">
        <w:rPr>
          <w:rFonts w:ascii="Gambria" w:hAnsi="Gambria" w:cs="Arial"/>
          <w:sz w:val="22"/>
          <w:szCs w:val="22"/>
        </w:rPr>
        <w:t>innost</w:t>
      </w:r>
      <w:r w:rsidRPr="00EE49C9">
        <w:rPr>
          <w:rFonts w:ascii="Gambria" w:hAnsi="Gambria" w:cs="Arial" w:hint="eastAsia"/>
          <w:sz w:val="22"/>
          <w:szCs w:val="22"/>
        </w:rPr>
        <w:t>í</w:t>
      </w:r>
      <w:r w:rsidRPr="00EE49C9">
        <w:rPr>
          <w:rFonts w:ascii="Gambria" w:hAnsi="Gambria" w:cs="Arial"/>
          <w:sz w:val="22"/>
          <w:szCs w:val="22"/>
        </w:rPr>
        <w:t xml:space="preserve">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ce z rozhodnut</w:t>
      </w:r>
      <w:r w:rsidRPr="00EE49C9">
        <w:rPr>
          <w:rFonts w:ascii="Gambria" w:hAnsi="Gambria" w:cs="Arial" w:hint="eastAsia"/>
          <w:sz w:val="22"/>
          <w:szCs w:val="22"/>
        </w:rPr>
        <w:t>í</w:t>
      </w:r>
      <w:r w:rsidRPr="00EE49C9">
        <w:rPr>
          <w:rFonts w:ascii="Gambria" w:hAnsi="Gambria" w:cs="Arial"/>
          <w:sz w:val="22"/>
          <w:szCs w:val="22"/>
        </w:rPr>
        <w:t xml:space="preserve"> </w:t>
      </w:r>
      <w:r w:rsidRPr="00EE49C9">
        <w:rPr>
          <w:rFonts w:ascii="Gambria" w:hAnsi="Gambria" w:cs="Arial" w:hint="eastAsia"/>
          <w:sz w:val="22"/>
          <w:szCs w:val="22"/>
        </w:rPr>
        <w:t>š</w:t>
      </w:r>
      <w:r w:rsidRPr="00EE49C9">
        <w:rPr>
          <w:rFonts w:ascii="Gambria" w:hAnsi="Gambria" w:cs="Arial"/>
          <w:sz w:val="22"/>
          <w:szCs w:val="22"/>
        </w:rPr>
        <w:t>t</w:t>
      </w:r>
      <w:r w:rsidRPr="00EE49C9">
        <w:rPr>
          <w:rFonts w:ascii="Gambria" w:hAnsi="Gambria" w:cs="Arial" w:hint="eastAsia"/>
          <w:sz w:val="22"/>
          <w:szCs w:val="22"/>
        </w:rPr>
        <w:t>á</w:t>
      </w:r>
      <w:r w:rsidRPr="00EE49C9">
        <w:rPr>
          <w:rFonts w:ascii="Gambria" w:hAnsi="Gambria" w:cs="Arial"/>
          <w:sz w:val="22"/>
          <w:szCs w:val="22"/>
        </w:rPr>
        <w:t>tnych org</w:t>
      </w:r>
      <w:r w:rsidRPr="00EE49C9">
        <w:rPr>
          <w:rFonts w:ascii="Gambria" w:hAnsi="Gambria" w:cs="Arial" w:hint="eastAsia"/>
          <w:sz w:val="22"/>
          <w:szCs w:val="22"/>
        </w:rPr>
        <w:t>á</w:t>
      </w:r>
      <w:r w:rsidRPr="00EE49C9">
        <w:rPr>
          <w:rFonts w:ascii="Gambria" w:hAnsi="Gambria" w:cs="Arial"/>
          <w:sz w:val="22"/>
          <w:szCs w:val="22"/>
        </w:rPr>
        <w:t>nov, ako i</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č</w:t>
      </w:r>
      <w:r w:rsidRPr="00EE49C9">
        <w:rPr>
          <w:rFonts w:ascii="Gambria" w:hAnsi="Gambria" w:cs="Arial"/>
          <w:sz w:val="22"/>
          <w:szCs w:val="22"/>
        </w:rPr>
        <w:t>innosti s</w:t>
      </w:r>
      <w:r w:rsidRPr="00EE49C9">
        <w:rPr>
          <w:rFonts w:ascii="Gambria" w:hAnsi="Gambria" w:cs="Arial" w:hint="eastAsia"/>
          <w:sz w:val="22"/>
          <w:szCs w:val="22"/>
        </w:rPr>
        <w:t>ú</w:t>
      </w:r>
      <w:r w:rsidRPr="00EE49C9">
        <w:rPr>
          <w:rFonts w:ascii="Gambria" w:hAnsi="Gambria" w:cs="Arial"/>
          <w:sz w:val="22"/>
          <w:szCs w:val="22"/>
        </w:rPr>
        <w:t>visiace s</w:t>
      </w:r>
      <w:r w:rsidRPr="00EE49C9">
        <w:rPr>
          <w:rFonts w:ascii="Gambria" w:hAnsi="Gambria" w:cs="Arial" w:hint="eastAsia"/>
          <w:sz w:val="22"/>
          <w:szCs w:val="22"/>
        </w:rPr>
        <w:t> </w:t>
      </w:r>
      <w:r w:rsidRPr="00EE49C9">
        <w:rPr>
          <w:rFonts w:ascii="Gambria" w:hAnsi="Gambria" w:cs="Arial"/>
          <w:sz w:val="22"/>
          <w:szCs w:val="22"/>
        </w:rPr>
        <w:t>t</w:t>
      </w:r>
      <w:r w:rsidRPr="00EE49C9">
        <w:rPr>
          <w:rFonts w:ascii="Gambria" w:hAnsi="Gambria" w:cs="Arial" w:hint="eastAsia"/>
          <w:sz w:val="22"/>
          <w:szCs w:val="22"/>
        </w:rPr>
        <w:t>ý</w:t>
      </w:r>
      <w:r w:rsidRPr="00EE49C9">
        <w:rPr>
          <w:rFonts w:ascii="Gambria" w:hAnsi="Gambria" w:cs="Arial"/>
          <w:sz w:val="22"/>
          <w:szCs w:val="22"/>
        </w:rPr>
        <w:t xml:space="preserve">mito </w:t>
      </w:r>
      <w:r w:rsidRPr="00EE49C9">
        <w:rPr>
          <w:rFonts w:ascii="Gambria" w:hAnsi="Gambria" w:cs="Arial" w:hint="eastAsia"/>
          <w:sz w:val="22"/>
          <w:szCs w:val="22"/>
        </w:rPr>
        <w:t>č</w:t>
      </w:r>
      <w:r w:rsidRPr="00EE49C9">
        <w:rPr>
          <w:rFonts w:ascii="Gambria" w:hAnsi="Gambria" w:cs="Arial"/>
          <w:sz w:val="22"/>
          <w:szCs w:val="22"/>
        </w:rPr>
        <w:t>innos</w:t>
      </w:r>
      <w:r w:rsidRPr="00EE49C9">
        <w:rPr>
          <w:rFonts w:ascii="Gambria" w:hAnsi="Gambria" w:cs="Arial" w:hint="eastAsia"/>
          <w:sz w:val="22"/>
          <w:szCs w:val="22"/>
        </w:rPr>
        <w:t>ť</w:t>
      </w:r>
      <w:r w:rsidRPr="00EE49C9">
        <w:rPr>
          <w:rFonts w:ascii="Gambria" w:hAnsi="Gambria" w:cs="Arial"/>
          <w:sz w:val="22"/>
          <w:szCs w:val="22"/>
        </w:rPr>
        <w:t>ami</w:t>
      </w:r>
    </w:p>
    <w:p w14:paraId="34A10F55"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Limit plnenia</w:t>
      </w:r>
      <w:r w:rsidRPr="00EE49C9">
        <w:rPr>
          <w:rFonts w:ascii="Gambria" w:hAnsi="Gambria" w:cs="Arial"/>
          <w:sz w:val="22"/>
          <w:szCs w:val="22"/>
        </w:rPr>
        <w:t xml:space="preserve">: </w:t>
      </w:r>
    </w:p>
    <w:p w14:paraId="21D60287"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r w:rsidRPr="00EE49C9">
        <w:rPr>
          <w:rFonts w:ascii="Gambria" w:hAnsi="Gambria" w:cs="Arial"/>
          <w:sz w:val="22"/>
          <w:szCs w:val="22"/>
        </w:rPr>
        <w:t>limit poistn</w:t>
      </w:r>
      <w:r w:rsidRPr="00EE49C9">
        <w:rPr>
          <w:rFonts w:ascii="Gambria" w:hAnsi="Gambria" w:cs="Arial" w:hint="eastAsia"/>
          <w:sz w:val="22"/>
          <w:szCs w:val="22"/>
        </w:rPr>
        <w:t>é</w:t>
      </w:r>
      <w:r w:rsidRPr="00EE49C9">
        <w:rPr>
          <w:rFonts w:ascii="Gambria" w:hAnsi="Gambria" w:cs="Arial"/>
          <w:sz w:val="22"/>
          <w:szCs w:val="22"/>
        </w:rPr>
        <w:t>ho plnenia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bCs/>
          <w:sz w:val="22"/>
          <w:szCs w:val="22"/>
        </w:rPr>
        <w:t>700.000,- 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b/>
          <w:sz w:val="22"/>
          <w:szCs w:val="22"/>
        </w:rPr>
        <w:t>1.400.000,- EUR</w:t>
      </w:r>
      <w:r w:rsidRPr="00EE49C9">
        <w:rPr>
          <w:rFonts w:ascii="Gambria" w:hAnsi="Gambria" w:cs="Arial" w:hint="eastAsia"/>
          <w:sz w:val="22"/>
          <w:szCs w:val="22"/>
        </w:rPr>
        <w:t> </w:t>
      </w:r>
      <w:r w:rsidRPr="00EE49C9">
        <w:rPr>
          <w:rFonts w:ascii="Gambria" w:hAnsi="Gambria" w:cs="Arial"/>
          <w:sz w:val="22"/>
          <w:szCs w:val="22"/>
        </w:rPr>
        <w:t>pre 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2A2BB5EF"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w:t>
      </w:r>
      <w:r w:rsidRPr="00EE49C9">
        <w:rPr>
          <w:rFonts w:ascii="Gambria" w:hAnsi="Gambria" w:cs="Arial" w:hint="eastAsia"/>
          <w:sz w:val="22"/>
          <w:szCs w:val="22"/>
        </w:rPr>
        <w:t> </w:t>
      </w:r>
      <w:r w:rsidRPr="00EE49C9">
        <w:rPr>
          <w:rFonts w:ascii="Gambria" w:hAnsi="Gambria" w:cs="Arial"/>
          <w:sz w:val="22"/>
          <w:szCs w:val="22"/>
        </w:rPr>
        <w:t>titulu regresn</w:t>
      </w:r>
      <w:r w:rsidRPr="00EE49C9">
        <w:rPr>
          <w:rFonts w:ascii="Gambria" w:hAnsi="Gambria" w:cs="Arial" w:hint="eastAsia"/>
          <w:sz w:val="22"/>
          <w:szCs w:val="22"/>
        </w:rPr>
        <w:t>ý</w:t>
      </w:r>
      <w:r w:rsidRPr="00EE49C9">
        <w:rPr>
          <w:rFonts w:ascii="Gambria" w:hAnsi="Gambria" w:cs="Arial"/>
          <w:sz w:val="22"/>
          <w:szCs w:val="22"/>
        </w:rPr>
        <w:t>ch n</w:t>
      </w:r>
      <w:r w:rsidRPr="00EE49C9">
        <w:rPr>
          <w:rFonts w:ascii="Gambria" w:hAnsi="Gambria" w:cs="Arial" w:hint="eastAsia"/>
          <w:sz w:val="22"/>
          <w:szCs w:val="22"/>
        </w:rPr>
        <w:t>á</w:t>
      </w:r>
      <w:r w:rsidRPr="00EE49C9">
        <w:rPr>
          <w:rFonts w:ascii="Gambria" w:hAnsi="Gambria" w:cs="Arial"/>
          <w:sz w:val="22"/>
          <w:szCs w:val="22"/>
        </w:rPr>
        <w:t>rokov Soci</w:t>
      </w:r>
      <w:r w:rsidRPr="00EE49C9">
        <w:rPr>
          <w:rFonts w:ascii="Gambria" w:hAnsi="Gambria" w:cs="Arial" w:hint="eastAsia"/>
          <w:sz w:val="22"/>
          <w:szCs w:val="22"/>
        </w:rPr>
        <w:t>á</w:t>
      </w:r>
      <w:r w:rsidRPr="00EE49C9">
        <w:rPr>
          <w:rFonts w:ascii="Gambria" w:hAnsi="Gambria" w:cs="Arial"/>
          <w:sz w:val="22"/>
          <w:szCs w:val="22"/>
        </w:rPr>
        <w:t>lnej pois</w:t>
      </w:r>
      <w:r w:rsidRPr="00EE49C9">
        <w:rPr>
          <w:rFonts w:ascii="Gambria" w:hAnsi="Gambria" w:cs="Arial" w:hint="eastAsia"/>
          <w:sz w:val="22"/>
          <w:szCs w:val="22"/>
        </w:rPr>
        <w:t>ť</w:t>
      </w:r>
      <w:r w:rsidRPr="00EE49C9">
        <w:rPr>
          <w:rFonts w:ascii="Gambria" w:hAnsi="Gambria" w:cs="Arial"/>
          <w:sz w:val="22"/>
          <w:szCs w:val="22"/>
        </w:rPr>
        <w:t>ovne a</w:t>
      </w:r>
      <w:r w:rsidRPr="00EE49C9">
        <w:rPr>
          <w:rFonts w:ascii="Gambria" w:hAnsi="Gambria" w:cs="Arial" w:hint="eastAsia"/>
          <w:sz w:val="22"/>
          <w:szCs w:val="22"/>
        </w:rPr>
        <w:t> </w:t>
      </w:r>
      <w:r w:rsidRPr="00EE49C9">
        <w:rPr>
          <w:rFonts w:ascii="Gambria" w:hAnsi="Gambria" w:cs="Arial"/>
          <w:sz w:val="22"/>
          <w:szCs w:val="22"/>
        </w:rPr>
        <w:t>zdravotn</w:t>
      </w:r>
      <w:r w:rsidRPr="00EE49C9">
        <w:rPr>
          <w:rFonts w:ascii="Gambria" w:hAnsi="Gambria" w:cs="Arial" w:hint="eastAsia"/>
          <w:sz w:val="22"/>
          <w:szCs w:val="22"/>
        </w:rPr>
        <w:t>ý</w:t>
      </w:r>
      <w:r w:rsidRPr="00EE49C9">
        <w:rPr>
          <w:rFonts w:ascii="Gambria" w:hAnsi="Gambria" w:cs="Arial"/>
          <w:sz w:val="22"/>
          <w:szCs w:val="22"/>
        </w:rPr>
        <w:t>ch pois</w:t>
      </w:r>
      <w:r w:rsidRPr="00EE49C9">
        <w:rPr>
          <w:rFonts w:ascii="Gambria" w:hAnsi="Gambria" w:cs="Arial" w:hint="eastAsia"/>
          <w:sz w:val="22"/>
          <w:szCs w:val="22"/>
        </w:rPr>
        <w:t>ť</w:t>
      </w:r>
      <w:r w:rsidRPr="00EE49C9">
        <w:rPr>
          <w:rFonts w:ascii="Gambria" w:hAnsi="Gambria" w:cs="Arial"/>
          <w:sz w:val="22"/>
          <w:szCs w:val="22"/>
        </w:rPr>
        <w:t>ovn</w:t>
      </w:r>
      <w:r w:rsidRPr="00EE49C9">
        <w:rPr>
          <w:rFonts w:ascii="Gambria" w:hAnsi="Gambria" w:cs="Arial" w:hint="eastAsia"/>
          <w:sz w:val="22"/>
          <w:szCs w:val="22"/>
        </w:rPr>
        <w:t>í</w:t>
      </w:r>
      <w:r w:rsidRPr="00EE49C9">
        <w:rPr>
          <w:rFonts w:ascii="Gambria" w:hAnsi="Gambria" w:cs="Arial"/>
          <w:sz w:val="22"/>
          <w:szCs w:val="22"/>
        </w:rPr>
        <w:t xml:space="preserve"> pri pracovn</w:t>
      </w:r>
      <w:r w:rsidRPr="00EE49C9">
        <w:rPr>
          <w:rFonts w:ascii="Gambria" w:hAnsi="Gambria" w:cs="Arial" w:hint="eastAsia"/>
          <w:sz w:val="22"/>
          <w:szCs w:val="22"/>
        </w:rPr>
        <w:t>ý</w:t>
      </w:r>
      <w:r w:rsidRPr="00EE49C9">
        <w:rPr>
          <w:rFonts w:ascii="Gambria" w:hAnsi="Gambria" w:cs="Arial"/>
          <w:sz w:val="22"/>
          <w:szCs w:val="22"/>
        </w:rPr>
        <w:t xml:space="preserve">ch </w:t>
      </w:r>
      <w:r w:rsidRPr="00EE49C9">
        <w:rPr>
          <w:rFonts w:ascii="Gambria" w:hAnsi="Gambria" w:cs="Arial" w:hint="eastAsia"/>
          <w:sz w:val="22"/>
          <w:szCs w:val="22"/>
        </w:rPr>
        <w:t>ú</w:t>
      </w:r>
      <w:r w:rsidRPr="00EE49C9">
        <w:rPr>
          <w:rFonts w:ascii="Gambria" w:hAnsi="Gambria" w:cs="Arial"/>
          <w:sz w:val="22"/>
          <w:szCs w:val="22"/>
        </w:rPr>
        <w:t>razoch a</w:t>
      </w:r>
      <w:r w:rsidRPr="00EE49C9">
        <w:rPr>
          <w:rFonts w:ascii="Gambria" w:hAnsi="Gambria" w:cs="Arial" w:hint="eastAsia"/>
          <w:sz w:val="22"/>
          <w:szCs w:val="22"/>
        </w:rPr>
        <w:t> </w:t>
      </w:r>
      <w:r w:rsidRPr="00EE49C9">
        <w:rPr>
          <w:rFonts w:ascii="Gambria" w:hAnsi="Gambria" w:cs="Arial"/>
          <w:sz w:val="22"/>
          <w:szCs w:val="22"/>
        </w:rPr>
        <w:t>chorob</w:t>
      </w:r>
      <w:r w:rsidRPr="00EE49C9">
        <w:rPr>
          <w:rFonts w:ascii="Gambria" w:hAnsi="Gambria" w:cs="Arial" w:hint="eastAsia"/>
          <w:sz w:val="22"/>
          <w:szCs w:val="22"/>
        </w:rPr>
        <w:t>á</w:t>
      </w:r>
      <w:r w:rsidRPr="00EE49C9">
        <w:rPr>
          <w:rFonts w:ascii="Gambria" w:hAnsi="Gambria" w:cs="Arial"/>
          <w:sz w:val="22"/>
          <w:szCs w:val="22"/>
        </w:rPr>
        <w:t>ch z</w:t>
      </w:r>
      <w:r w:rsidRPr="00EE49C9">
        <w:rPr>
          <w:rFonts w:ascii="Gambria" w:hAnsi="Gambria" w:cs="Arial" w:hint="eastAsia"/>
          <w:sz w:val="22"/>
          <w:szCs w:val="22"/>
        </w:rPr>
        <w:t> </w:t>
      </w:r>
      <w:r w:rsidRPr="00EE49C9">
        <w:rPr>
          <w:rFonts w:ascii="Gambria" w:hAnsi="Gambria" w:cs="Arial"/>
          <w:sz w:val="22"/>
          <w:szCs w:val="22"/>
        </w:rPr>
        <w:t>povolania zamestnancov poisten</w:t>
      </w:r>
      <w:r w:rsidRPr="00EE49C9">
        <w:rPr>
          <w:rFonts w:ascii="Gambria" w:hAnsi="Gambria" w:cs="Arial" w:hint="eastAsia"/>
          <w:sz w:val="22"/>
          <w:szCs w:val="22"/>
        </w:rPr>
        <w:t>é</w:t>
      </w:r>
      <w:r w:rsidRPr="00EE49C9">
        <w:rPr>
          <w:rFonts w:ascii="Gambria" w:hAnsi="Gambria" w:cs="Arial"/>
          <w:sz w:val="22"/>
          <w:szCs w:val="22"/>
        </w:rPr>
        <w:t>ho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200.000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69EF50D6"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lastRenderedPageBreak/>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nej veci, ktor</w:t>
      </w:r>
      <w:r w:rsidRPr="00EE49C9">
        <w:rPr>
          <w:rFonts w:ascii="Gambria" w:hAnsi="Gambria" w:cs="Arial" w:hint="eastAsia"/>
          <w:sz w:val="22"/>
          <w:szCs w:val="22"/>
        </w:rPr>
        <w:t>ú</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alebo za neho konaj</w:t>
      </w:r>
      <w:r w:rsidRPr="00EE49C9">
        <w:rPr>
          <w:rFonts w:ascii="Gambria" w:hAnsi="Gambria" w:cs="Arial" w:hint="eastAsia"/>
          <w:sz w:val="22"/>
          <w:szCs w:val="22"/>
        </w:rPr>
        <w:t>ú</w:t>
      </w:r>
      <w:r w:rsidRPr="00EE49C9">
        <w:rPr>
          <w:rFonts w:ascii="Gambria" w:hAnsi="Gambria" w:cs="Arial"/>
          <w:sz w:val="22"/>
          <w:szCs w:val="22"/>
        </w:rPr>
        <w:t>ca osoba prevzali (veci prevzat</w:t>
      </w:r>
      <w:r w:rsidRPr="00EE49C9">
        <w:rPr>
          <w:rFonts w:ascii="Gambria" w:hAnsi="Gambria" w:cs="Arial" w:hint="eastAsia"/>
          <w:sz w:val="22"/>
          <w:szCs w:val="22"/>
        </w:rPr>
        <w:t>é</w:t>
      </w:r>
      <w:r w:rsidRPr="00EE49C9">
        <w:rPr>
          <w:rFonts w:ascii="Gambria" w:hAnsi="Gambria" w:cs="Arial"/>
          <w:sz w:val="22"/>
          <w:szCs w:val="22"/>
        </w:rPr>
        <w:t>)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w:t>
      </w:r>
      <w:r w:rsidRPr="00EE49C9">
        <w:rPr>
          <w:rFonts w:ascii="Gambria" w:hAnsi="Gambria" w:cs="Arial"/>
          <w:sz w:val="22"/>
          <w:szCs w:val="22"/>
        </w:rPr>
        <w:t xml:space="preserve">,- </w:t>
      </w:r>
      <w:r w:rsidRPr="00EE49C9">
        <w:rPr>
          <w:rFonts w:ascii="Gambria" w:hAnsi="Gambria" w:cs="Arial"/>
          <w:b/>
          <w:bCs/>
          <w:sz w:val="22"/>
          <w:szCs w:val="22"/>
        </w:rPr>
        <w:t>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1CFD18BB"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nej veci, ktor</w:t>
      </w:r>
      <w:r w:rsidRPr="00EE49C9">
        <w:rPr>
          <w:rFonts w:ascii="Gambria" w:hAnsi="Gambria" w:cs="Arial" w:hint="eastAsia"/>
          <w:sz w:val="22"/>
          <w:szCs w:val="22"/>
        </w:rPr>
        <w:t>ú</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alebo za neho konaj</w:t>
      </w:r>
      <w:r w:rsidRPr="00EE49C9">
        <w:rPr>
          <w:rFonts w:ascii="Gambria" w:hAnsi="Gambria" w:cs="Arial" w:hint="eastAsia"/>
          <w:sz w:val="22"/>
          <w:szCs w:val="22"/>
        </w:rPr>
        <w:t>ú</w:t>
      </w:r>
      <w:r w:rsidRPr="00EE49C9">
        <w:rPr>
          <w:rFonts w:ascii="Gambria" w:hAnsi="Gambria" w:cs="Arial"/>
          <w:sz w:val="22"/>
          <w:szCs w:val="22"/>
        </w:rPr>
        <w:t>ca osoba u</w:t>
      </w:r>
      <w:r w:rsidRPr="00EE49C9">
        <w:rPr>
          <w:rFonts w:ascii="Gambria" w:hAnsi="Gambria" w:cs="Arial" w:hint="eastAsia"/>
          <w:sz w:val="22"/>
          <w:szCs w:val="22"/>
        </w:rPr>
        <w:t>ží</w:t>
      </w:r>
      <w:r w:rsidRPr="00EE49C9">
        <w:rPr>
          <w:rFonts w:ascii="Gambria" w:hAnsi="Gambria" w:cs="Arial"/>
          <w:sz w:val="22"/>
          <w:szCs w:val="22"/>
        </w:rPr>
        <w:t>va (veci u</w:t>
      </w:r>
      <w:r w:rsidRPr="00EE49C9">
        <w:rPr>
          <w:rFonts w:ascii="Gambria" w:hAnsi="Gambria" w:cs="Arial" w:hint="eastAsia"/>
          <w:sz w:val="22"/>
          <w:szCs w:val="22"/>
        </w:rPr>
        <w:t>ží</w:t>
      </w:r>
      <w:r w:rsidRPr="00EE49C9">
        <w:rPr>
          <w:rFonts w:ascii="Gambria" w:hAnsi="Gambria" w:cs="Arial"/>
          <w:sz w:val="22"/>
          <w:szCs w:val="22"/>
        </w:rPr>
        <w:t>van</w:t>
      </w:r>
      <w:r w:rsidRPr="00EE49C9">
        <w:rPr>
          <w:rFonts w:ascii="Gambria" w:hAnsi="Gambria" w:cs="Arial" w:hint="eastAsia"/>
          <w:sz w:val="22"/>
          <w:szCs w:val="22"/>
        </w:rPr>
        <w:t>é</w:t>
      </w:r>
      <w:r w:rsidRPr="00EE49C9">
        <w:rPr>
          <w:rFonts w:ascii="Gambria" w:hAnsi="Gambria" w:cs="Arial"/>
          <w:sz w:val="22"/>
          <w:szCs w:val="22"/>
        </w:rPr>
        <w:t>)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 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34AA827E"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nehnute</w:t>
      </w:r>
      <w:r w:rsidRPr="00EE49C9">
        <w:rPr>
          <w:rFonts w:ascii="Gambria" w:hAnsi="Gambria" w:cs="Arial" w:hint="eastAsia"/>
          <w:sz w:val="22"/>
          <w:szCs w:val="22"/>
        </w:rPr>
        <w:t>ľ</w:t>
      </w:r>
      <w:r w:rsidRPr="00EE49C9">
        <w:rPr>
          <w:rFonts w:ascii="Gambria" w:hAnsi="Gambria" w:cs="Arial"/>
          <w:sz w:val="22"/>
          <w:szCs w:val="22"/>
        </w:rPr>
        <w:t>nostiach, ktor</w:t>
      </w:r>
      <w:r w:rsidRPr="00EE49C9">
        <w:rPr>
          <w:rFonts w:ascii="Gambria" w:hAnsi="Gambria" w:cs="Arial" w:hint="eastAsia"/>
          <w:sz w:val="22"/>
          <w:szCs w:val="22"/>
        </w:rPr>
        <w:t>é</w:t>
      </w:r>
      <w:r w:rsidRPr="00EE49C9">
        <w:rPr>
          <w:rFonts w:ascii="Gambria" w:hAnsi="Gambria" w:cs="Arial"/>
          <w:sz w:val="22"/>
          <w:szCs w:val="22"/>
        </w:rPr>
        <w:t xml:space="preserve">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0C5CFD55"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veciach zamestnancov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16.600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 pri</w:t>
      </w:r>
      <w:r w:rsidRPr="00EE49C9">
        <w:rPr>
          <w:rFonts w:ascii="Gambria" w:hAnsi="Gambria" w:cs="Arial" w:hint="eastAsia"/>
          <w:sz w:val="22"/>
          <w:szCs w:val="22"/>
        </w:rPr>
        <w:t>č</w:t>
      </w:r>
      <w:r w:rsidRPr="00EE49C9">
        <w:rPr>
          <w:rFonts w:ascii="Gambria" w:hAnsi="Gambria" w:cs="Arial"/>
          <w:sz w:val="22"/>
          <w:szCs w:val="22"/>
        </w:rPr>
        <w:t>om limit na jednu vec je 1.000,- EUR</w:t>
      </w:r>
    </w:p>
    <w:p w14:paraId="666F6C62"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veciach n</w:t>
      </w:r>
      <w:r w:rsidRPr="00EE49C9">
        <w:rPr>
          <w:rFonts w:ascii="Gambria" w:hAnsi="Gambria" w:cs="Arial" w:hint="eastAsia"/>
          <w:sz w:val="22"/>
          <w:szCs w:val="22"/>
        </w:rPr>
        <w:t>á</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tevn</w:t>
      </w:r>
      <w:r w:rsidRPr="00EE49C9">
        <w:rPr>
          <w:rFonts w:ascii="Gambria" w:hAnsi="Gambria" w:cs="Arial" w:hint="eastAsia"/>
          <w:sz w:val="22"/>
          <w:szCs w:val="22"/>
        </w:rPr>
        <w:t>í</w:t>
      </w:r>
      <w:r w:rsidRPr="00EE49C9">
        <w:rPr>
          <w:rFonts w:ascii="Gambria" w:hAnsi="Gambria" w:cs="Arial"/>
          <w:sz w:val="22"/>
          <w:szCs w:val="22"/>
        </w:rPr>
        <w:t>kov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 pri</w:t>
      </w:r>
      <w:r w:rsidRPr="00EE49C9">
        <w:rPr>
          <w:rFonts w:ascii="Gambria" w:hAnsi="Gambria" w:cs="Arial" w:hint="eastAsia"/>
          <w:sz w:val="22"/>
          <w:szCs w:val="22"/>
        </w:rPr>
        <w:t>č</w:t>
      </w:r>
      <w:r w:rsidRPr="00EE49C9">
        <w:rPr>
          <w:rFonts w:ascii="Gambria" w:hAnsi="Gambria" w:cs="Arial"/>
          <w:sz w:val="22"/>
          <w:szCs w:val="22"/>
        </w:rPr>
        <w:t>om limit na jednu vec je 1.000,- EUR</w:t>
      </w:r>
    </w:p>
    <w:p w14:paraId="5B9DE8E1"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hint="eastAsia"/>
          <w:b/>
          <w:sz w:val="22"/>
          <w:szCs w:val="22"/>
        </w:rPr>
        <w:t>Ú</w:t>
      </w:r>
      <w:r w:rsidRPr="00EE49C9">
        <w:rPr>
          <w:rFonts w:ascii="Gambria" w:hAnsi="Gambria" w:cs="Arial"/>
          <w:b/>
          <w:sz w:val="22"/>
          <w:szCs w:val="22"/>
        </w:rPr>
        <w:t>zemn</w:t>
      </w:r>
      <w:r w:rsidRPr="00EE49C9">
        <w:rPr>
          <w:rFonts w:ascii="Gambria" w:hAnsi="Gambria" w:cs="Arial" w:hint="eastAsia"/>
          <w:b/>
          <w:sz w:val="22"/>
          <w:szCs w:val="22"/>
        </w:rPr>
        <w:t>á</w:t>
      </w:r>
      <w:r w:rsidRPr="00EE49C9">
        <w:rPr>
          <w:rFonts w:ascii="Gambria" w:hAnsi="Gambria" w:cs="Arial"/>
          <w:b/>
          <w:sz w:val="22"/>
          <w:szCs w:val="22"/>
        </w:rPr>
        <w:t xml:space="preserve"> platnos</w:t>
      </w:r>
      <w:r w:rsidRPr="00EE49C9">
        <w:rPr>
          <w:rFonts w:ascii="Gambria" w:hAnsi="Gambria" w:cs="Arial" w:hint="eastAsia"/>
          <w:b/>
          <w:sz w:val="22"/>
          <w:szCs w:val="22"/>
        </w:rPr>
        <w:t>ť</w:t>
      </w:r>
      <w:r w:rsidRPr="00EE49C9">
        <w:rPr>
          <w:rFonts w:ascii="Gambria" w:hAnsi="Gambria" w:cs="Arial"/>
          <w:b/>
          <w:sz w:val="22"/>
          <w:szCs w:val="22"/>
        </w:rPr>
        <w:t xml:space="preserve"> je </w:t>
      </w:r>
      <w:r w:rsidRPr="00EE49C9">
        <w:rPr>
          <w:rFonts w:ascii="Gambria" w:hAnsi="Gambria" w:cs="Arial"/>
          <w:sz w:val="22"/>
          <w:szCs w:val="22"/>
        </w:rPr>
        <w:t>Eur</w:t>
      </w:r>
      <w:r w:rsidRPr="00EE49C9">
        <w:rPr>
          <w:rFonts w:ascii="Gambria" w:hAnsi="Gambria" w:cs="Arial" w:hint="eastAsia"/>
          <w:sz w:val="22"/>
          <w:szCs w:val="22"/>
        </w:rPr>
        <w:t>ó</w:t>
      </w:r>
      <w:r w:rsidRPr="00EE49C9">
        <w:rPr>
          <w:rFonts w:ascii="Gambria" w:hAnsi="Gambria" w:cs="Arial"/>
          <w:sz w:val="22"/>
          <w:szCs w:val="22"/>
        </w:rPr>
        <w:t>pa</w:t>
      </w:r>
    </w:p>
    <w:p w14:paraId="53FBF48D"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Rozsah poistn</w:t>
      </w:r>
      <w:r w:rsidRPr="00EE49C9">
        <w:rPr>
          <w:rFonts w:ascii="Gambria" w:hAnsi="Gambria" w:cs="Arial" w:hint="eastAsia"/>
          <w:b/>
          <w:sz w:val="22"/>
          <w:szCs w:val="22"/>
        </w:rPr>
        <w:t>é</w:t>
      </w:r>
      <w:r w:rsidRPr="00EE49C9">
        <w:rPr>
          <w:rFonts w:ascii="Gambria" w:hAnsi="Gambria" w:cs="Arial"/>
          <w:b/>
          <w:sz w:val="22"/>
          <w:szCs w:val="22"/>
        </w:rPr>
        <w:t>ho krytia</w:t>
      </w:r>
      <w:r w:rsidRPr="00EE49C9">
        <w:rPr>
          <w:rFonts w:ascii="Gambria" w:hAnsi="Gambria" w:cs="Arial"/>
          <w:sz w:val="22"/>
          <w:szCs w:val="22"/>
        </w:rPr>
        <w:t>:</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pr</w:t>
      </w:r>
      <w:r w:rsidRPr="00EE49C9">
        <w:rPr>
          <w:rFonts w:ascii="Gambria" w:hAnsi="Gambria" w:cs="Arial" w:hint="eastAsia"/>
          <w:sz w:val="22"/>
          <w:szCs w:val="22"/>
        </w:rPr>
        <w:t>á</w:t>
      </w:r>
      <w:r w:rsidRPr="00EE49C9">
        <w:rPr>
          <w:rFonts w:ascii="Gambria" w:hAnsi="Gambria" w:cs="Arial"/>
          <w:sz w:val="22"/>
          <w:szCs w:val="22"/>
        </w:rPr>
        <w:t>vnym predpisom stanoven</w:t>
      </w:r>
      <w:r w:rsidRPr="00EE49C9">
        <w:rPr>
          <w:rFonts w:ascii="Gambria" w:hAnsi="Gambria" w:cs="Arial" w:hint="eastAsia"/>
          <w:sz w:val="22"/>
          <w:szCs w:val="22"/>
        </w:rPr>
        <w:t>ú</w:t>
      </w:r>
      <w:r w:rsidRPr="00EE49C9">
        <w:rPr>
          <w:rFonts w:ascii="Gambria" w:hAnsi="Gambria" w:cs="Arial"/>
          <w:sz w:val="22"/>
          <w:szCs w:val="22"/>
        </w:rPr>
        <w:t xml:space="preserve">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ktor</w:t>
      </w:r>
      <w:r w:rsidRPr="00EE49C9">
        <w:rPr>
          <w:rFonts w:ascii="Gambria" w:hAnsi="Gambria" w:cs="Arial" w:hint="eastAsia"/>
          <w:sz w:val="22"/>
          <w:szCs w:val="22"/>
        </w:rPr>
        <w:t>á</w:t>
      </w:r>
      <w:r w:rsidRPr="00EE49C9">
        <w:rPr>
          <w:rFonts w:ascii="Gambria" w:hAnsi="Gambria" w:cs="Arial"/>
          <w:sz w:val="22"/>
          <w:szCs w:val="22"/>
        </w:rPr>
        <w:t xml:space="preserve"> vznikne in</w:t>
      </w:r>
      <w:r w:rsidRPr="00EE49C9">
        <w:rPr>
          <w:rFonts w:ascii="Gambria" w:hAnsi="Gambria" w:cs="Arial" w:hint="eastAsia"/>
          <w:sz w:val="22"/>
          <w:szCs w:val="22"/>
        </w:rPr>
        <w:t>é</w:t>
      </w:r>
      <w:r w:rsidRPr="00EE49C9">
        <w:rPr>
          <w:rFonts w:ascii="Gambria" w:hAnsi="Gambria" w:cs="Arial"/>
          <w:sz w:val="22"/>
          <w:szCs w:val="22"/>
        </w:rPr>
        <w:t>mu v</w:t>
      </w:r>
      <w:r w:rsidRPr="00EE49C9">
        <w:rPr>
          <w:rFonts w:ascii="Gambria" w:hAnsi="Gambria" w:cs="Arial" w:hint="eastAsia"/>
          <w:sz w:val="22"/>
          <w:szCs w:val="22"/>
        </w:rPr>
        <w:t> </w:t>
      </w:r>
      <w:r w:rsidRPr="00EE49C9">
        <w:rPr>
          <w:rFonts w:ascii="Gambria" w:hAnsi="Gambria" w:cs="Arial"/>
          <w:sz w:val="22"/>
          <w:szCs w:val="22"/>
        </w:rPr>
        <w:t>s</w:t>
      </w:r>
      <w:r w:rsidRPr="00EE49C9">
        <w:rPr>
          <w:rFonts w:ascii="Gambria" w:hAnsi="Gambria" w:cs="Arial" w:hint="eastAsia"/>
          <w:sz w:val="22"/>
          <w:szCs w:val="22"/>
        </w:rPr>
        <w:t>ú</w:t>
      </w:r>
      <w:r w:rsidRPr="00EE49C9">
        <w:rPr>
          <w:rFonts w:ascii="Gambria" w:hAnsi="Gambria" w:cs="Arial"/>
          <w:sz w:val="22"/>
          <w:szCs w:val="22"/>
        </w:rPr>
        <w:t>vislosti s</w:t>
      </w:r>
      <w:r w:rsidRPr="00EE49C9">
        <w:rPr>
          <w:rFonts w:ascii="Gambria" w:hAnsi="Gambria" w:cs="Arial" w:hint="eastAsia"/>
          <w:sz w:val="22"/>
          <w:szCs w:val="22"/>
        </w:rPr>
        <w:t> č</w:t>
      </w:r>
      <w:r w:rsidRPr="00EE49C9">
        <w:rPr>
          <w:rFonts w:ascii="Gambria" w:hAnsi="Gambria" w:cs="Arial"/>
          <w:sz w:val="22"/>
          <w:szCs w:val="22"/>
        </w:rPr>
        <w:t>innos</w:t>
      </w:r>
      <w:r w:rsidRPr="00EE49C9">
        <w:rPr>
          <w:rFonts w:ascii="Gambria" w:hAnsi="Gambria" w:cs="Arial" w:hint="eastAsia"/>
          <w:sz w:val="22"/>
          <w:szCs w:val="22"/>
        </w:rPr>
        <w:t>ť</w:t>
      </w:r>
      <w:r w:rsidRPr="00EE49C9">
        <w:rPr>
          <w:rFonts w:ascii="Gambria" w:hAnsi="Gambria" w:cs="Arial"/>
          <w:sz w:val="22"/>
          <w:szCs w:val="22"/>
        </w:rPr>
        <w:t>ou alebo vz</w:t>
      </w:r>
      <w:r w:rsidRPr="00EE49C9">
        <w:rPr>
          <w:rFonts w:ascii="Gambria" w:hAnsi="Gambria" w:cs="Arial" w:hint="eastAsia"/>
          <w:sz w:val="22"/>
          <w:szCs w:val="22"/>
        </w:rPr>
        <w:t>ť</w:t>
      </w:r>
      <w:r w:rsidRPr="00EE49C9">
        <w:rPr>
          <w:rFonts w:ascii="Gambria" w:hAnsi="Gambria" w:cs="Arial"/>
          <w:sz w:val="22"/>
          <w:szCs w:val="22"/>
        </w:rPr>
        <w:t>ahom poisten</w:t>
      </w:r>
      <w:r w:rsidRPr="00EE49C9">
        <w:rPr>
          <w:rFonts w:ascii="Gambria" w:hAnsi="Gambria" w:cs="Arial" w:hint="eastAsia"/>
          <w:sz w:val="22"/>
          <w:szCs w:val="22"/>
        </w:rPr>
        <w:t>é</w:t>
      </w:r>
      <w:r w:rsidRPr="00EE49C9">
        <w:rPr>
          <w:rFonts w:ascii="Gambria" w:hAnsi="Gambria" w:cs="Arial"/>
          <w:sz w:val="22"/>
          <w:szCs w:val="22"/>
        </w:rPr>
        <w:t>ho, ak poisten</w:t>
      </w:r>
      <w:r w:rsidRPr="00EE49C9">
        <w:rPr>
          <w:rFonts w:ascii="Gambria" w:hAnsi="Gambria" w:cs="Arial" w:hint="eastAsia"/>
          <w:sz w:val="22"/>
          <w:szCs w:val="22"/>
        </w:rPr>
        <w:t>ý</w:t>
      </w:r>
      <w:r w:rsidRPr="00EE49C9">
        <w:rPr>
          <w:rFonts w:ascii="Gambria" w:hAnsi="Gambria" w:cs="Arial"/>
          <w:sz w:val="22"/>
          <w:szCs w:val="22"/>
        </w:rPr>
        <w:t xml:space="preserve"> zodpoved</w:t>
      </w:r>
      <w:r w:rsidRPr="00EE49C9">
        <w:rPr>
          <w:rFonts w:ascii="Gambria" w:hAnsi="Gambria" w:cs="Arial" w:hint="eastAsia"/>
          <w:sz w:val="22"/>
          <w:szCs w:val="22"/>
        </w:rPr>
        <w:t>á</w:t>
      </w:r>
      <w:r w:rsidRPr="00EE49C9">
        <w:rPr>
          <w:rFonts w:ascii="Gambria" w:hAnsi="Gambria" w:cs="Arial"/>
          <w:sz w:val="22"/>
          <w:szCs w:val="22"/>
        </w:rPr>
        <w:t xml:space="preserve"> za tieto </w:t>
      </w:r>
      <w:r w:rsidRPr="00EE49C9">
        <w:rPr>
          <w:rFonts w:ascii="Gambria" w:hAnsi="Gambria" w:cs="Arial" w:hint="eastAsia"/>
          <w:sz w:val="22"/>
          <w:szCs w:val="22"/>
        </w:rPr>
        <w:t>š</w:t>
      </w:r>
      <w:r w:rsidRPr="00EE49C9">
        <w:rPr>
          <w:rFonts w:ascii="Gambria" w:hAnsi="Gambria" w:cs="Arial"/>
          <w:sz w:val="22"/>
          <w:szCs w:val="22"/>
        </w:rPr>
        <w:t>kody v</w:t>
      </w:r>
      <w:r w:rsidRPr="00EE49C9">
        <w:rPr>
          <w:rFonts w:ascii="Gambria" w:hAnsi="Gambria" w:cs="Arial" w:hint="eastAsia"/>
          <w:sz w:val="22"/>
          <w:szCs w:val="22"/>
        </w:rPr>
        <w:t> </w:t>
      </w:r>
      <w:r w:rsidRPr="00EE49C9">
        <w:rPr>
          <w:rFonts w:ascii="Gambria" w:hAnsi="Gambria" w:cs="Arial"/>
          <w:sz w:val="22"/>
          <w:szCs w:val="22"/>
        </w:rPr>
        <w:t>d</w:t>
      </w:r>
      <w:r w:rsidRPr="00EE49C9">
        <w:rPr>
          <w:rFonts w:ascii="Gambria" w:hAnsi="Gambria" w:cs="Arial" w:hint="eastAsia"/>
          <w:sz w:val="22"/>
          <w:szCs w:val="22"/>
        </w:rPr>
        <w:t>ô</w:t>
      </w:r>
      <w:r w:rsidRPr="00EE49C9">
        <w:rPr>
          <w:rFonts w:ascii="Gambria" w:hAnsi="Gambria" w:cs="Arial"/>
          <w:sz w:val="22"/>
          <w:szCs w:val="22"/>
        </w:rPr>
        <w:t>sledku svojho konania alebo vz</w:t>
      </w:r>
      <w:r w:rsidRPr="00EE49C9">
        <w:rPr>
          <w:rFonts w:ascii="Gambria" w:hAnsi="Gambria" w:cs="Arial" w:hint="eastAsia"/>
          <w:sz w:val="22"/>
          <w:szCs w:val="22"/>
        </w:rPr>
        <w:t>ť</w:t>
      </w:r>
      <w:r w:rsidRPr="00EE49C9">
        <w:rPr>
          <w:rFonts w:ascii="Gambria" w:hAnsi="Gambria" w:cs="Arial"/>
          <w:sz w:val="22"/>
          <w:szCs w:val="22"/>
        </w:rPr>
        <w:t>ahu po</w:t>
      </w:r>
      <w:r w:rsidRPr="00EE49C9">
        <w:rPr>
          <w:rFonts w:ascii="Gambria" w:hAnsi="Gambria" w:cs="Arial" w:hint="eastAsia"/>
          <w:sz w:val="22"/>
          <w:szCs w:val="22"/>
        </w:rPr>
        <w:t>č</w:t>
      </w:r>
      <w:r w:rsidRPr="00EE49C9">
        <w:rPr>
          <w:rFonts w:ascii="Gambria" w:hAnsi="Gambria" w:cs="Arial"/>
          <w:sz w:val="22"/>
          <w:szCs w:val="22"/>
        </w:rPr>
        <w:t>as doby trvania poistenia:</w:t>
      </w:r>
    </w:p>
    <w:p w14:paraId="03E1A5E2"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v</w:t>
      </w:r>
      <w:r w:rsidRPr="00EE49C9">
        <w:rPr>
          <w:rFonts w:ascii="Gambria" w:hAnsi="Gambria" w:cs="Arial" w:hint="eastAsia"/>
          <w:b/>
          <w:sz w:val="22"/>
          <w:szCs w:val="22"/>
        </w:rPr>
        <w:t>š</w:t>
      </w:r>
      <w:r w:rsidRPr="00EE49C9">
        <w:rPr>
          <w:rFonts w:ascii="Gambria" w:hAnsi="Gambria" w:cs="Arial"/>
          <w:b/>
          <w:sz w:val="22"/>
          <w:szCs w:val="22"/>
        </w:rPr>
        <w:t xml:space="preserve">eobecnej zodpovednosti za </w:t>
      </w:r>
      <w:r w:rsidRPr="00EE49C9">
        <w:rPr>
          <w:rFonts w:ascii="Gambria" w:hAnsi="Gambria" w:cs="Arial" w:hint="eastAsia"/>
          <w:b/>
          <w:sz w:val="22"/>
          <w:szCs w:val="22"/>
        </w:rPr>
        <w:t>š</w:t>
      </w:r>
      <w:r w:rsidRPr="00EE49C9">
        <w:rPr>
          <w:rFonts w:ascii="Gambria" w:hAnsi="Gambria" w:cs="Arial"/>
          <w:b/>
          <w:sz w:val="22"/>
          <w:szCs w:val="22"/>
        </w:rPr>
        <w:t>kodu</w:t>
      </w:r>
    </w:p>
    <w:p w14:paraId="02A58EB8"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zodpovednosti z titulu pracovn</w:t>
      </w:r>
      <w:r w:rsidRPr="00EE49C9">
        <w:rPr>
          <w:rFonts w:ascii="Gambria" w:hAnsi="Gambria" w:cs="Arial" w:hint="eastAsia"/>
          <w:b/>
          <w:sz w:val="22"/>
          <w:szCs w:val="22"/>
        </w:rPr>
        <w:t>ý</w:t>
      </w:r>
      <w:r w:rsidRPr="00EE49C9">
        <w:rPr>
          <w:rFonts w:ascii="Gambria" w:hAnsi="Gambria" w:cs="Arial"/>
          <w:b/>
          <w:sz w:val="22"/>
          <w:szCs w:val="22"/>
        </w:rPr>
        <w:t xml:space="preserve">ch </w:t>
      </w:r>
      <w:r w:rsidRPr="00EE49C9">
        <w:rPr>
          <w:rFonts w:ascii="Gambria" w:hAnsi="Gambria" w:cs="Arial" w:hint="eastAsia"/>
          <w:b/>
          <w:sz w:val="22"/>
          <w:szCs w:val="22"/>
        </w:rPr>
        <w:t>ú</w:t>
      </w:r>
      <w:r w:rsidRPr="00EE49C9">
        <w:rPr>
          <w:rFonts w:ascii="Gambria" w:hAnsi="Gambria" w:cs="Arial"/>
          <w:b/>
          <w:sz w:val="22"/>
          <w:szCs w:val="22"/>
        </w:rPr>
        <w:t>razov a</w:t>
      </w:r>
      <w:r w:rsidRPr="00EE49C9">
        <w:rPr>
          <w:rFonts w:ascii="Gambria" w:hAnsi="Gambria" w:cs="Arial" w:hint="eastAsia"/>
          <w:b/>
          <w:sz w:val="22"/>
          <w:szCs w:val="22"/>
        </w:rPr>
        <w:t> </w:t>
      </w:r>
      <w:r w:rsidRPr="00EE49C9">
        <w:rPr>
          <w:rFonts w:ascii="Gambria" w:hAnsi="Gambria" w:cs="Arial"/>
          <w:b/>
          <w:sz w:val="22"/>
          <w:szCs w:val="22"/>
        </w:rPr>
        <w:t>chor</w:t>
      </w:r>
      <w:r w:rsidRPr="00EE49C9">
        <w:rPr>
          <w:rFonts w:ascii="Gambria" w:hAnsi="Gambria" w:cs="Arial" w:hint="eastAsia"/>
          <w:b/>
          <w:sz w:val="22"/>
          <w:szCs w:val="22"/>
        </w:rPr>
        <w:t>ô</w:t>
      </w:r>
      <w:r w:rsidRPr="00EE49C9">
        <w:rPr>
          <w:rFonts w:ascii="Gambria" w:hAnsi="Gambria" w:cs="Arial"/>
          <w:b/>
          <w:sz w:val="22"/>
          <w:szCs w:val="22"/>
        </w:rPr>
        <w:t>b z</w:t>
      </w:r>
      <w:r w:rsidRPr="00EE49C9">
        <w:rPr>
          <w:rFonts w:ascii="Gambria" w:hAnsi="Gambria" w:cs="Arial" w:hint="eastAsia"/>
          <w:b/>
          <w:sz w:val="22"/>
          <w:szCs w:val="22"/>
        </w:rPr>
        <w:t> </w:t>
      </w:r>
      <w:r w:rsidRPr="00EE49C9">
        <w:rPr>
          <w:rFonts w:ascii="Gambria" w:hAnsi="Gambria" w:cs="Arial"/>
          <w:b/>
          <w:sz w:val="22"/>
          <w:szCs w:val="22"/>
        </w:rPr>
        <w:t>povolania (regresy zdravotn</w:t>
      </w:r>
      <w:r w:rsidRPr="00EE49C9">
        <w:rPr>
          <w:rFonts w:ascii="Gambria" w:hAnsi="Gambria" w:cs="Arial" w:hint="eastAsia"/>
          <w:b/>
          <w:sz w:val="22"/>
          <w:szCs w:val="22"/>
        </w:rPr>
        <w:t>ý</w:t>
      </w:r>
      <w:r w:rsidRPr="00EE49C9">
        <w:rPr>
          <w:rFonts w:ascii="Gambria" w:hAnsi="Gambria" w:cs="Arial"/>
          <w:b/>
          <w:sz w:val="22"/>
          <w:szCs w:val="22"/>
        </w:rPr>
        <w:t>ch pois</w:t>
      </w:r>
      <w:r w:rsidRPr="00EE49C9">
        <w:rPr>
          <w:rFonts w:ascii="Gambria" w:hAnsi="Gambria" w:cs="Arial" w:hint="eastAsia"/>
          <w:b/>
          <w:sz w:val="22"/>
          <w:szCs w:val="22"/>
        </w:rPr>
        <w:t>ť</w:t>
      </w:r>
      <w:r w:rsidRPr="00EE49C9">
        <w:rPr>
          <w:rFonts w:ascii="Gambria" w:hAnsi="Gambria" w:cs="Arial"/>
          <w:b/>
          <w:sz w:val="22"/>
          <w:szCs w:val="22"/>
        </w:rPr>
        <w:t>ovn</w:t>
      </w:r>
      <w:r w:rsidRPr="00EE49C9">
        <w:rPr>
          <w:rFonts w:ascii="Gambria" w:hAnsi="Gambria" w:cs="Arial" w:hint="eastAsia"/>
          <w:b/>
          <w:sz w:val="22"/>
          <w:szCs w:val="22"/>
        </w:rPr>
        <w:t>í</w:t>
      </w:r>
      <w:r w:rsidRPr="00EE49C9">
        <w:rPr>
          <w:rFonts w:ascii="Gambria" w:hAnsi="Gambria" w:cs="Arial"/>
          <w:b/>
          <w:sz w:val="22"/>
          <w:szCs w:val="22"/>
        </w:rPr>
        <w:t xml:space="preserve"> a</w:t>
      </w:r>
      <w:r w:rsidRPr="00EE49C9">
        <w:rPr>
          <w:rFonts w:ascii="Gambria" w:hAnsi="Gambria" w:cs="Arial" w:hint="eastAsia"/>
          <w:b/>
          <w:sz w:val="22"/>
          <w:szCs w:val="22"/>
        </w:rPr>
        <w:t> </w:t>
      </w:r>
      <w:r w:rsidRPr="00EE49C9">
        <w:rPr>
          <w:rFonts w:ascii="Gambria" w:hAnsi="Gambria" w:cs="Arial"/>
          <w:b/>
          <w:sz w:val="22"/>
          <w:szCs w:val="22"/>
        </w:rPr>
        <w:t>Soci</w:t>
      </w:r>
      <w:r w:rsidRPr="00EE49C9">
        <w:rPr>
          <w:rFonts w:ascii="Gambria" w:hAnsi="Gambria" w:cs="Arial" w:hint="eastAsia"/>
          <w:b/>
          <w:sz w:val="22"/>
          <w:szCs w:val="22"/>
        </w:rPr>
        <w:t>á</w:t>
      </w:r>
      <w:r w:rsidRPr="00EE49C9">
        <w:rPr>
          <w:rFonts w:ascii="Gambria" w:hAnsi="Gambria" w:cs="Arial"/>
          <w:b/>
          <w:sz w:val="22"/>
          <w:szCs w:val="22"/>
        </w:rPr>
        <w:t>lnej pois</w:t>
      </w:r>
      <w:r w:rsidRPr="00EE49C9">
        <w:rPr>
          <w:rFonts w:ascii="Gambria" w:hAnsi="Gambria" w:cs="Arial" w:hint="eastAsia"/>
          <w:b/>
          <w:sz w:val="22"/>
          <w:szCs w:val="22"/>
        </w:rPr>
        <w:t>ť</w:t>
      </w:r>
      <w:r w:rsidRPr="00EE49C9">
        <w:rPr>
          <w:rFonts w:ascii="Gambria" w:hAnsi="Gambria" w:cs="Arial"/>
          <w:b/>
          <w:sz w:val="22"/>
          <w:szCs w:val="22"/>
        </w:rPr>
        <w:t>ovne)</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aj na regresn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Soci</w:t>
      </w:r>
      <w:r w:rsidRPr="00EE49C9">
        <w:rPr>
          <w:rFonts w:ascii="Gambria" w:hAnsi="Gambria" w:cs="Arial" w:hint="eastAsia"/>
          <w:sz w:val="22"/>
          <w:szCs w:val="22"/>
        </w:rPr>
        <w:t>á</w:t>
      </w:r>
      <w:r w:rsidRPr="00EE49C9">
        <w:rPr>
          <w:rFonts w:ascii="Gambria" w:hAnsi="Gambria" w:cs="Arial"/>
          <w:sz w:val="22"/>
          <w:szCs w:val="22"/>
        </w:rPr>
        <w:t>lnej pois</w:t>
      </w:r>
      <w:r w:rsidRPr="00EE49C9">
        <w:rPr>
          <w:rFonts w:ascii="Gambria" w:hAnsi="Gambria" w:cs="Arial" w:hint="eastAsia"/>
          <w:sz w:val="22"/>
          <w:szCs w:val="22"/>
        </w:rPr>
        <w:t>ť</w:t>
      </w:r>
      <w:r w:rsidRPr="00EE49C9">
        <w:rPr>
          <w:rFonts w:ascii="Gambria" w:hAnsi="Gambria" w:cs="Arial"/>
          <w:sz w:val="22"/>
          <w:szCs w:val="22"/>
        </w:rPr>
        <w:t>ovne a</w:t>
      </w:r>
      <w:r w:rsidRPr="00EE49C9">
        <w:rPr>
          <w:rFonts w:ascii="Gambria" w:hAnsi="Gambria" w:cs="Arial" w:hint="eastAsia"/>
          <w:sz w:val="22"/>
          <w:szCs w:val="22"/>
        </w:rPr>
        <w:t> </w:t>
      </w:r>
      <w:r w:rsidRPr="00EE49C9">
        <w:rPr>
          <w:rFonts w:ascii="Gambria" w:hAnsi="Gambria" w:cs="Arial"/>
          <w:sz w:val="22"/>
          <w:szCs w:val="22"/>
        </w:rPr>
        <w:t>zdravotn</w:t>
      </w:r>
      <w:r w:rsidRPr="00EE49C9">
        <w:rPr>
          <w:rFonts w:ascii="Gambria" w:hAnsi="Gambria" w:cs="Arial" w:hint="eastAsia"/>
          <w:sz w:val="22"/>
          <w:szCs w:val="22"/>
        </w:rPr>
        <w:t>ý</w:t>
      </w:r>
      <w:r w:rsidRPr="00EE49C9">
        <w:rPr>
          <w:rFonts w:ascii="Gambria" w:hAnsi="Gambria" w:cs="Arial"/>
          <w:sz w:val="22"/>
          <w:szCs w:val="22"/>
        </w:rPr>
        <w:t>ch pois</w:t>
      </w:r>
      <w:r w:rsidRPr="00EE49C9">
        <w:rPr>
          <w:rFonts w:ascii="Gambria" w:hAnsi="Gambria" w:cs="Arial" w:hint="eastAsia"/>
          <w:sz w:val="22"/>
          <w:szCs w:val="22"/>
        </w:rPr>
        <w:t>ť</w:t>
      </w:r>
      <w:r w:rsidRPr="00EE49C9">
        <w:rPr>
          <w:rFonts w:ascii="Gambria" w:hAnsi="Gambria" w:cs="Arial"/>
          <w:sz w:val="22"/>
          <w:szCs w:val="22"/>
        </w:rPr>
        <w:t>ovn</w:t>
      </w:r>
      <w:r w:rsidRPr="00EE49C9">
        <w:rPr>
          <w:rFonts w:ascii="Gambria" w:hAnsi="Gambria" w:cs="Arial" w:hint="eastAsia"/>
          <w:sz w:val="22"/>
          <w:szCs w:val="22"/>
        </w:rPr>
        <w:t>í</w:t>
      </w:r>
      <w:r w:rsidRPr="00EE49C9">
        <w:rPr>
          <w:rFonts w:ascii="Gambria" w:hAnsi="Gambria" w:cs="Arial"/>
          <w:sz w:val="22"/>
          <w:szCs w:val="22"/>
        </w:rPr>
        <w:t xml:space="preserve"> z</w:t>
      </w:r>
      <w:r w:rsidRPr="00EE49C9">
        <w:rPr>
          <w:rFonts w:ascii="Gambria" w:hAnsi="Gambria" w:cs="Arial" w:hint="eastAsia"/>
          <w:sz w:val="22"/>
          <w:szCs w:val="22"/>
        </w:rPr>
        <w:t> </w:t>
      </w:r>
      <w:r w:rsidRPr="00EE49C9">
        <w:rPr>
          <w:rFonts w:ascii="Gambria" w:hAnsi="Gambria" w:cs="Arial"/>
          <w:sz w:val="22"/>
          <w:szCs w:val="22"/>
        </w:rPr>
        <w:t>titulu pracovn</w:t>
      </w:r>
      <w:r w:rsidRPr="00EE49C9">
        <w:rPr>
          <w:rFonts w:ascii="Gambria" w:hAnsi="Gambria" w:cs="Arial" w:hint="eastAsia"/>
          <w:sz w:val="22"/>
          <w:szCs w:val="22"/>
        </w:rPr>
        <w:t>ý</w:t>
      </w:r>
      <w:r w:rsidRPr="00EE49C9">
        <w:rPr>
          <w:rFonts w:ascii="Gambria" w:hAnsi="Gambria" w:cs="Arial"/>
          <w:sz w:val="22"/>
          <w:szCs w:val="22"/>
        </w:rPr>
        <w:t xml:space="preserve">ch </w:t>
      </w:r>
      <w:r w:rsidRPr="00EE49C9">
        <w:rPr>
          <w:rFonts w:ascii="Gambria" w:hAnsi="Gambria" w:cs="Arial" w:hint="eastAsia"/>
          <w:sz w:val="22"/>
          <w:szCs w:val="22"/>
        </w:rPr>
        <w:t>ú</w:t>
      </w:r>
      <w:r w:rsidRPr="00EE49C9">
        <w:rPr>
          <w:rFonts w:ascii="Gambria" w:hAnsi="Gambria" w:cs="Arial"/>
          <w:sz w:val="22"/>
          <w:szCs w:val="22"/>
        </w:rPr>
        <w:t>razov a</w:t>
      </w:r>
      <w:r w:rsidRPr="00EE49C9">
        <w:rPr>
          <w:rFonts w:ascii="Gambria" w:hAnsi="Gambria" w:cs="Arial" w:hint="eastAsia"/>
          <w:sz w:val="22"/>
          <w:szCs w:val="22"/>
        </w:rPr>
        <w:t> </w:t>
      </w:r>
      <w:r w:rsidRPr="00EE49C9">
        <w:rPr>
          <w:rFonts w:ascii="Gambria" w:hAnsi="Gambria" w:cs="Arial"/>
          <w:sz w:val="22"/>
          <w:szCs w:val="22"/>
        </w:rPr>
        <w:t>chor</w:t>
      </w:r>
      <w:r w:rsidRPr="00EE49C9">
        <w:rPr>
          <w:rFonts w:ascii="Gambria" w:hAnsi="Gambria" w:cs="Arial" w:hint="eastAsia"/>
          <w:sz w:val="22"/>
          <w:szCs w:val="22"/>
        </w:rPr>
        <w:t>ô</w:t>
      </w:r>
      <w:r w:rsidRPr="00EE49C9">
        <w:rPr>
          <w:rFonts w:ascii="Gambria" w:hAnsi="Gambria" w:cs="Arial"/>
          <w:sz w:val="22"/>
          <w:szCs w:val="22"/>
        </w:rPr>
        <w:t>b z</w:t>
      </w:r>
      <w:r w:rsidRPr="00EE49C9">
        <w:rPr>
          <w:rFonts w:ascii="Gambria" w:hAnsi="Gambria" w:cs="Arial" w:hint="eastAsia"/>
          <w:sz w:val="22"/>
          <w:szCs w:val="22"/>
        </w:rPr>
        <w:t> </w:t>
      </w:r>
      <w:r w:rsidRPr="00EE49C9">
        <w:rPr>
          <w:rFonts w:ascii="Gambria" w:hAnsi="Gambria" w:cs="Arial"/>
          <w:sz w:val="22"/>
          <w:szCs w:val="22"/>
        </w:rPr>
        <w:t>povolania zamestnancov poisten</w:t>
      </w:r>
      <w:r w:rsidRPr="00EE49C9">
        <w:rPr>
          <w:rFonts w:ascii="Gambria" w:hAnsi="Gambria" w:cs="Arial" w:hint="eastAsia"/>
          <w:sz w:val="22"/>
          <w:szCs w:val="22"/>
        </w:rPr>
        <w:t>é</w:t>
      </w:r>
      <w:r w:rsidRPr="00EE49C9">
        <w:rPr>
          <w:rFonts w:ascii="Gambria" w:hAnsi="Gambria" w:cs="Arial"/>
          <w:sz w:val="22"/>
          <w:szCs w:val="22"/>
        </w:rPr>
        <w:t>ho. Toto roz</w:t>
      </w:r>
      <w:r w:rsidRPr="00EE49C9">
        <w:rPr>
          <w:rFonts w:ascii="Gambria" w:hAnsi="Gambria" w:cs="Arial" w:hint="eastAsia"/>
          <w:sz w:val="22"/>
          <w:szCs w:val="22"/>
        </w:rPr>
        <w:t>ší</w:t>
      </w:r>
      <w:r w:rsidRPr="00EE49C9">
        <w:rPr>
          <w:rFonts w:ascii="Gambria" w:hAnsi="Gambria" w:cs="Arial"/>
          <w:sz w:val="22"/>
          <w:szCs w:val="22"/>
        </w:rPr>
        <w:t>renie poistn</w:t>
      </w:r>
      <w:r w:rsidRPr="00EE49C9">
        <w:rPr>
          <w:rFonts w:ascii="Gambria" w:hAnsi="Gambria" w:cs="Arial" w:hint="eastAsia"/>
          <w:sz w:val="22"/>
          <w:szCs w:val="22"/>
        </w:rPr>
        <w:t>é</w:t>
      </w:r>
      <w:r w:rsidRPr="00EE49C9">
        <w:rPr>
          <w:rFonts w:ascii="Gambria" w:hAnsi="Gambria" w:cs="Arial"/>
          <w:sz w:val="22"/>
          <w:szCs w:val="22"/>
        </w:rPr>
        <w:t>ho krytia sa vz</w:t>
      </w:r>
      <w:r w:rsidRPr="00EE49C9">
        <w:rPr>
          <w:rFonts w:ascii="Gambria" w:hAnsi="Gambria" w:cs="Arial" w:hint="eastAsia"/>
          <w:sz w:val="22"/>
          <w:szCs w:val="22"/>
        </w:rPr>
        <w:t>ť</w:t>
      </w:r>
      <w:r w:rsidRPr="00EE49C9">
        <w:rPr>
          <w:rFonts w:ascii="Gambria" w:hAnsi="Gambria" w:cs="Arial"/>
          <w:sz w:val="22"/>
          <w:szCs w:val="22"/>
        </w:rPr>
        <w:t>ahuje aj na regresn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z</w:t>
      </w:r>
      <w:r w:rsidRPr="00EE49C9">
        <w:rPr>
          <w:rFonts w:ascii="Gambria" w:hAnsi="Gambria" w:cs="Arial" w:hint="eastAsia"/>
          <w:sz w:val="22"/>
          <w:szCs w:val="22"/>
        </w:rPr>
        <w:t> </w:t>
      </w:r>
      <w:r w:rsidRPr="00EE49C9">
        <w:rPr>
          <w:rFonts w:ascii="Gambria" w:hAnsi="Gambria" w:cs="Arial"/>
          <w:sz w:val="22"/>
          <w:szCs w:val="22"/>
        </w:rPr>
        <w:t xml:space="preserve">titulu </w:t>
      </w:r>
      <w:r w:rsidRPr="00EE49C9">
        <w:rPr>
          <w:rFonts w:ascii="Gambria" w:hAnsi="Gambria" w:cs="Arial" w:hint="eastAsia"/>
          <w:sz w:val="22"/>
          <w:szCs w:val="22"/>
        </w:rPr>
        <w:t>š</w:t>
      </w:r>
      <w:r w:rsidRPr="00EE49C9">
        <w:rPr>
          <w:rFonts w:ascii="Gambria" w:hAnsi="Gambria" w:cs="Arial"/>
          <w:sz w:val="22"/>
          <w:szCs w:val="22"/>
        </w:rPr>
        <w:t>kody na zdrav</w:t>
      </w:r>
      <w:r w:rsidRPr="00EE49C9">
        <w:rPr>
          <w:rFonts w:ascii="Gambria" w:hAnsi="Gambria" w:cs="Arial" w:hint="eastAsia"/>
          <w:sz w:val="22"/>
          <w:szCs w:val="22"/>
        </w:rPr>
        <w:t>í</w:t>
      </w:r>
      <w:r w:rsidRPr="00EE49C9">
        <w:rPr>
          <w:rFonts w:ascii="Gambria" w:hAnsi="Gambria" w:cs="Arial"/>
          <w:sz w:val="22"/>
          <w:szCs w:val="22"/>
        </w:rPr>
        <w:t xml:space="preserve"> vzniknutej ako n</w:t>
      </w:r>
      <w:r w:rsidRPr="00EE49C9">
        <w:rPr>
          <w:rFonts w:ascii="Gambria" w:hAnsi="Gambria" w:cs="Arial" w:hint="eastAsia"/>
          <w:sz w:val="22"/>
          <w:szCs w:val="22"/>
        </w:rPr>
        <w:t>á</w:t>
      </w:r>
      <w:r w:rsidRPr="00EE49C9">
        <w:rPr>
          <w:rFonts w:ascii="Gambria" w:hAnsi="Gambria" w:cs="Arial"/>
          <w:sz w:val="22"/>
          <w:szCs w:val="22"/>
        </w:rPr>
        <w:t xml:space="preserve">sledok </w:t>
      </w:r>
      <w:r w:rsidRPr="00EE49C9">
        <w:rPr>
          <w:rFonts w:ascii="Gambria" w:hAnsi="Gambria" w:cs="Arial" w:hint="eastAsia"/>
          <w:sz w:val="22"/>
          <w:szCs w:val="22"/>
        </w:rPr>
        <w:t>š</w:t>
      </w:r>
      <w:r w:rsidRPr="00EE49C9">
        <w:rPr>
          <w:rFonts w:ascii="Gambria" w:hAnsi="Gambria" w:cs="Arial"/>
          <w:sz w:val="22"/>
          <w:szCs w:val="22"/>
        </w:rPr>
        <w:t>kodovej udalosti, ktor</w:t>
      </w:r>
      <w:r w:rsidRPr="00EE49C9">
        <w:rPr>
          <w:rFonts w:ascii="Gambria" w:hAnsi="Gambria" w:cs="Arial" w:hint="eastAsia"/>
          <w:sz w:val="22"/>
          <w:szCs w:val="22"/>
        </w:rPr>
        <w:t>á</w:t>
      </w:r>
      <w:r w:rsidRPr="00EE49C9">
        <w:rPr>
          <w:rFonts w:ascii="Gambria" w:hAnsi="Gambria" w:cs="Arial"/>
          <w:sz w:val="22"/>
          <w:szCs w:val="22"/>
        </w:rPr>
        <w:t xml:space="preserve"> nastala najsk</w:t>
      </w:r>
      <w:r w:rsidRPr="00EE49C9">
        <w:rPr>
          <w:rFonts w:ascii="Gambria" w:hAnsi="Gambria" w:cs="Arial" w:hint="eastAsia"/>
          <w:sz w:val="22"/>
          <w:szCs w:val="22"/>
        </w:rPr>
        <w:t>ô</w:t>
      </w:r>
      <w:r w:rsidRPr="00EE49C9">
        <w:rPr>
          <w:rFonts w:ascii="Gambria" w:hAnsi="Gambria" w:cs="Arial"/>
          <w:sz w:val="22"/>
          <w:szCs w:val="22"/>
        </w:rPr>
        <w:t>r 1.</w:t>
      </w:r>
      <w:r>
        <w:rPr>
          <w:rFonts w:ascii="Gambria" w:hAnsi="Gambria" w:cs="Arial"/>
          <w:sz w:val="22"/>
          <w:szCs w:val="22"/>
        </w:rPr>
        <w:t>1</w:t>
      </w:r>
      <w:r w:rsidRPr="00EE49C9">
        <w:rPr>
          <w:rFonts w:ascii="Gambria" w:hAnsi="Gambria" w:cs="Arial"/>
          <w:sz w:val="22"/>
          <w:szCs w:val="22"/>
        </w:rPr>
        <w:t>. 201</w:t>
      </w:r>
      <w:r>
        <w:rPr>
          <w:rFonts w:ascii="Gambria" w:hAnsi="Gambria" w:cs="Arial"/>
          <w:sz w:val="22"/>
          <w:szCs w:val="22"/>
        </w:rPr>
        <w:t>8</w:t>
      </w:r>
      <w:r w:rsidRPr="00EE49C9">
        <w:rPr>
          <w:rFonts w:ascii="Gambria" w:hAnsi="Gambria" w:cs="Arial"/>
          <w:sz w:val="22"/>
          <w:szCs w:val="22"/>
        </w:rPr>
        <w:t xml:space="preserve"> a /alebo po</w:t>
      </w:r>
      <w:r w:rsidRPr="00EE49C9">
        <w:rPr>
          <w:rFonts w:ascii="Gambria" w:hAnsi="Gambria" w:cs="Arial" w:hint="eastAsia"/>
          <w:sz w:val="22"/>
          <w:szCs w:val="22"/>
        </w:rPr>
        <w:t>č</w:t>
      </w:r>
      <w:r w:rsidRPr="00EE49C9">
        <w:rPr>
          <w:rFonts w:ascii="Gambria" w:hAnsi="Gambria" w:cs="Arial"/>
          <w:sz w:val="22"/>
          <w:szCs w:val="22"/>
        </w:rPr>
        <w:t xml:space="preserve">as </w:t>
      </w:r>
      <w:r w:rsidRPr="00EE49C9">
        <w:rPr>
          <w:rFonts w:ascii="Gambria" w:hAnsi="Gambria" w:cs="Arial" w:hint="eastAsia"/>
          <w:sz w:val="22"/>
          <w:szCs w:val="22"/>
        </w:rPr>
        <w:t>úč</w:t>
      </w:r>
      <w:r w:rsidRPr="00EE49C9">
        <w:rPr>
          <w:rFonts w:ascii="Gambria" w:hAnsi="Gambria" w:cs="Arial"/>
          <w:sz w:val="22"/>
          <w:szCs w:val="22"/>
        </w:rPr>
        <w:t>innosti tejto poistnej zmluvy.</w:t>
      </w:r>
    </w:p>
    <w:p w14:paraId="2460E47D"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w:t>
      </w:r>
      <w:r w:rsidRPr="00EE49C9">
        <w:rPr>
          <w:rFonts w:ascii="Gambria" w:hAnsi="Gambria" w:cs="Arial" w:hint="eastAsia"/>
          <w:b/>
          <w:sz w:val="22"/>
          <w:szCs w:val="22"/>
        </w:rPr>
        <w:t> </w:t>
      </w:r>
      <w:r w:rsidRPr="00EE49C9">
        <w:rPr>
          <w:rFonts w:ascii="Gambria" w:hAnsi="Gambria" w:cs="Arial"/>
          <w:b/>
          <w:sz w:val="22"/>
          <w:szCs w:val="22"/>
        </w:rPr>
        <w:t>vec</w:t>
      </w:r>
      <w:r w:rsidRPr="00EE49C9">
        <w:rPr>
          <w:rFonts w:ascii="Gambria" w:hAnsi="Gambria" w:cs="Arial" w:hint="eastAsia"/>
          <w:b/>
          <w:sz w:val="22"/>
          <w:szCs w:val="22"/>
        </w:rPr>
        <w:t>í</w:t>
      </w:r>
      <w:r w:rsidRPr="00EE49C9">
        <w:rPr>
          <w:rFonts w:ascii="Gambria" w:hAnsi="Gambria" w:cs="Arial"/>
          <w:b/>
          <w:sz w:val="22"/>
          <w:szCs w:val="22"/>
        </w:rPr>
        <w:t xml:space="preserve"> prevzat</w:t>
      </w:r>
      <w:r w:rsidRPr="00EE49C9">
        <w:rPr>
          <w:rFonts w:ascii="Gambria" w:hAnsi="Gambria" w:cs="Arial" w:hint="eastAsia"/>
          <w:b/>
          <w:sz w:val="22"/>
          <w:szCs w:val="22"/>
        </w:rPr>
        <w:t>ý</w:t>
      </w:r>
      <w:r w:rsidRPr="00EE49C9">
        <w:rPr>
          <w:rFonts w:ascii="Gambria" w:hAnsi="Gambria" w:cs="Arial"/>
          <w:b/>
          <w:sz w:val="22"/>
          <w:szCs w:val="22"/>
        </w:rPr>
        <w:t>ch</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veciach, ktor</w:t>
      </w:r>
      <w:r w:rsidRPr="00EE49C9">
        <w:rPr>
          <w:rFonts w:ascii="Gambria" w:hAnsi="Gambria" w:cs="Arial" w:hint="eastAsia"/>
          <w:sz w:val="22"/>
          <w:szCs w:val="22"/>
        </w:rPr>
        <w:t>é</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prevzal za </w:t>
      </w:r>
      <w:r w:rsidRPr="00EE49C9">
        <w:rPr>
          <w:rFonts w:ascii="Gambria" w:hAnsi="Gambria" w:cs="Arial" w:hint="eastAsia"/>
          <w:sz w:val="22"/>
          <w:szCs w:val="22"/>
        </w:rPr>
        <w:t>úč</w:t>
      </w:r>
      <w:r w:rsidRPr="00EE49C9">
        <w:rPr>
          <w:rFonts w:ascii="Gambria" w:hAnsi="Gambria" w:cs="Arial"/>
          <w:sz w:val="22"/>
          <w:szCs w:val="22"/>
        </w:rPr>
        <w:t xml:space="preserve">elom spracovania, opravy, </w:t>
      </w:r>
      <w:r w:rsidRPr="00EE49C9">
        <w:rPr>
          <w:rFonts w:ascii="Gambria" w:hAnsi="Gambria" w:cs="Arial" w:hint="eastAsia"/>
          <w:sz w:val="22"/>
          <w:szCs w:val="22"/>
        </w:rPr>
        <w:t>ú</w:t>
      </w:r>
      <w:r w:rsidRPr="00EE49C9">
        <w:rPr>
          <w:rFonts w:ascii="Gambria" w:hAnsi="Gambria" w:cs="Arial"/>
          <w:sz w:val="22"/>
          <w:szCs w:val="22"/>
        </w:rPr>
        <w:t xml:space="preserve">pravy, predaja, </w:t>
      </w:r>
      <w:r w:rsidRPr="00EE49C9">
        <w:rPr>
          <w:rFonts w:ascii="Gambria" w:hAnsi="Gambria" w:cs="Arial" w:hint="eastAsia"/>
          <w:sz w:val="22"/>
          <w:szCs w:val="22"/>
        </w:rPr>
        <w:t>ú</w:t>
      </w:r>
      <w:r w:rsidRPr="00EE49C9">
        <w:rPr>
          <w:rFonts w:ascii="Gambria" w:hAnsi="Gambria" w:cs="Arial"/>
          <w:sz w:val="22"/>
          <w:szCs w:val="22"/>
        </w:rPr>
        <w:t xml:space="preserve">schovy, uskladnenia, alebo poskytnutia odbornej pomoci. </w:t>
      </w:r>
    </w:p>
    <w:p w14:paraId="342A595E"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w:t>
      </w:r>
      <w:r w:rsidRPr="00EE49C9">
        <w:rPr>
          <w:rFonts w:ascii="Gambria" w:hAnsi="Gambria" w:cs="Arial" w:hint="eastAsia"/>
          <w:b/>
          <w:sz w:val="22"/>
          <w:szCs w:val="22"/>
        </w:rPr>
        <w:t> </w:t>
      </w:r>
      <w:r w:rsidRPr="00EE49C9">
        <w:rPr>
          <w:rFonts w:ascii="Gambria" w:hAnsi="Gambria" w:cs="Arial"/>
          <w:b/>
          <w:sz w:val="22"/>
          <w:szCs w:val="22"/>
        </w:rPr>
        <w:t>vec</w:t>
      </w:r>
      <w:r w:rsidRPr="00EE49C9">
        <w:rPr>
          <w:rFonts w:ascii="Gambria" w:hAnsi="Gambria" w:cs="Arial" w:hint="eastAsia"/>
          <w:b/>
          <w:sz w:val="22"/>
          <w:szCs w:val="22"/>
        </w:rPr>
        <w:t>í</w:t>
      </w:r>
      <w:r w:rsidRPr="00EE49C9">
        <w:rPr>
          <w:rFonts w:ascii="Gambria" w:hAnsi="Gambria" w:cs="Arial"/>
          <w:b/>
          <w:sz w:val="22"/>
          <w:szCs w:val="22"/>
        </w:rPr>
        <w:t xml:space="preserve"> u</w:t>
      </w:r>
      <w:r w:rsidRPr="00EE49C9">
        <w:rPr>
          <w:rFonts w:ascii="Gambria" w:hAnsi="Gambria" w:cs="Arial" w:hint="eastAsia"/>
          <w:b/>
          <w:sz w:val="22"/>
          <w:szCs w:val="22"/>
        </w:rPr>
        <w:t>ží</w:t>
      </w:r>
      <w:r w:rsidRPr="00EE49C9">
        <w:rPr>
          <w:rFonts w:ascii="Gambria" w:hAnsi="Gambria" w:cs="Arial"/>
          <w:b/>
          <w:sz w:val="22"/>
          <w:szCs w:val="22"/>
        </w:rPr>
        <w:t>van</w:t>
      </w:r>
      <w:r w:rsidRPr="00EE49C9">
        <w:rPr>
          <w:rFonts w:ascii="Gambria" w:hAnsi="Gambria" w:cs="Arial" w:hint="eastAsia"/>
          <w:b/>
          <w:sz w:val="22"/>
          <w:szCs w:val="22"/>
        </w:rPr>
        <w:t>ý</w:t>
      </w:r>
      <w:r w:rsidRPr="00EE49C9">
        <w:rPr>
          <w:rFonts w:ascii="Gambria" w:hAnsi="Gambria" w:cs="Arial"/>
          <w:b/>
          <w:sz w:val="22"/>
          <w:szCs w:val="22"/>
        </w:rPr>
        <w:t xml:space="preserve">ch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veciach, ktor</w:t>
      </w:r>
      <w:r w:rsidRPr="00EE49C9">
        <w:rPr>
          <w:rFonts w:ascii="Gambria" w:hAnsi="Gambria" w:cs="Arial" w:hint="eastAsia"/>
          <w:sz w:val="22"/>
          <w:szCs w:val="22"/>
        </w:rPr>
        <w:t>é</w:t>
      </w:r>
      <w:r w:rsidRPr="00EE49C9">
        <w:rPr>
          <w:rFonts w:ascii="Gambria" w:hAnsi="Gambria" w:cs="Arial"/>
          <w:sz w:val="22"/>
          <w:szCs w:val="22"/>
        </w:rPr>
        <w:t xml:space="preserve"> s</w:t>
      </w:r>
      <w:r w:rsidRPr="00EE49C9">
        <w:rPr>
          <w:rFonts w:ascii="Gambria" w:hAnsi="Gambria" w:cs="Arial" w:hint="eastAsia"/>
          <w:sz w:val="22"/>
          <w:szCs w:val="22"/>
        </w:rPr>
        <w:t>í</w:t>
      </w:r>
      <w:r w:rsidRPr="00EE49C9">
        <w:rPr>
          <w:rFonts w:ascii="Gambria" w:hAnsi="Gambria" w:cs="Arial"/>
          <w:sz w:val="22"/>
          <w:szCs w:val="22"/>
        </w:rPr>
        <w:t>ce nie s</w:t>
      </w:r>
      <w:r w:rsidRPr="00EE49C9">
        <w:rPr>
          <w:rFonts w:ascii="Gambria" w:hAnsi="Gambria" w:cs="Arial" w:hint="eastAsia"/>
          <w:sz w:val="22"/>
          <w:szCs w:val="22"/>
        </w:rPr>
        <w:t>ú</w:t>
      </w:r>
      <w:r w:rsidRPr="00EE49C9">
        <w:rPr>
          <w:rFonts w:ascii="Gambria" w:hAnsi="Gambria" w:cs="Arial"/>
          <w:sz w:val="22"/>
          <w:szCs w:val="22"/>
        </w:rPr>
        <w:t xml:space="preserve"> vlastn</w:t>
      </w:r>
      <w:r w:rsidRPr="00EE49C9">
        <w:rPr>
          <w:rFonts w:ascii="Gambria" w:hAnsi="Gambria" w:cs="Arial" w:hint="eastAsia"/>
          <w:sz w:val="22"/>
          <w:szCs w:val="22"/>
        </w:rPr>
        <w:t>í</w:t>
      </w:r>
      <w:r w:rsidRPr="00EE49C9">
        <w:rPr>
          <w:rFonts w:ascii="Gambria" w:hAnsi="Gambria" w:cs="Arial"/>
          <w:sz w:val="22"/>
          <w:szCs w:val="22"/>
        </w:rPr>
        <w:t>ctvom poisten</w:t>
      </w:r>
      <w:r w:rsidRPr="00EE49C9">
        <w:rPr>
          <w:rFonts w:ascii="Gambria" w:hAnsi="Gambria" w:cs="Arial" w:hint="eastAsia"/>
          <w:sz w:val="22"/>
          <w:szCs w:val="22"/>
        </w:rPr>
        <w:t>é</w:t>
      </w:r>
      <w:r w:rsidRPr="00EE49C9">
        <w:rPr>
          <w:rFonts w:ascii="Gambria" w:hAnsi="Gambria" w:cs="Arial"/>
          <w:sz w:val="22"/>
          <w:szCs w:val="22"/>
        </w:rPr>
        <w:t>ho, boli mu v</w:t>
      </w:r>
      <w:r w:rsidRPr="00EE49C9">
        <w:rPr>
          <w:rFonts w:ascii="Gambria" w:hAnsi="Gambria" w:cs="Arial" w:hint="eastAsia"/>
          <w:sz w:val="22"/>
          <w:szCs w:val="22"/>
        </w:rPr>
        <w:t>š</w:t>
      </w:r>
      <w:r w:rsidRPr="00EE49C9">
        <w:rPr>
          <w:rFonts w:ascii="Gambria" w:hAnsi="Gambria" w:cs="Arial"/>
          <w:sz w:val="22"/>
          <w:szCs w:val="22"/>
        </w:rPr>
        <w:t>ak prenajat</w:t>
      </w:r>
      <w:r w:rsidRPr="00EE49C9">
        <w:rPr>
          <w:rFonts w:ascii="Gambria" w:hAnsi="Gambria" w:cs="Arial" w:hint="eastAsia"/>
          <w:sz w:val="22"/>
          <w:szCs w:val="22"/>
        </w:rPr>
        <w:t>é</w:t>
      </w:r>
      <w:r w:rsidRPr="00EE49C9">
        <w:rPr>
          <w:rFonts w:ascii="Gambria" w:hAnsi="Gambria" w:cs="Arial"/>
          <w:sz w:val="22"/>
          <w:szCs w:val="22"/>
        </w:rPr>
        <w:t>, po</w:t>
      </w:r>
      <w:r w:rsidRPr="00EE49C9">
        <w:rPr>
          <w:rFonts w:ascii="Gambria" w:hAnsi="Gambria" w:cs="Arial" w:hint="eastAsia"/>
          <w:sz w:val="22"/>
          <w:szCs w:val="22"/>
        </w:rPr>
        <w:t>ž</w:t>
      </w:r>
      <w:r w:rsidRPr="00EE49C9">
        <w:rPr>
          <w:rFonts w:ascii="Gambria" w:hAnsi="Gambria" w:cs="Arial"/>
          <w:sz w:val="22"/>
          <w:szCs w:val="22"/>
        </w:rPr>
        <w:t>i</w:t>
      </w:r>
      <w:r w:rsidRPr="00EE49C9">
        <w:rPr>
          <w:rFonts w:ascii="Gambria" w:hAnsi="Gambria" w:cs="Arial" w:hint="eastAsia"/>
          <w:sz w:val="22"/>
          <w:szCs w:val="22"/>
        </w:rPr>
        <w:t>č</w:t>
      </w:r>
      <w:r w:rsidRPr="00EE49C9">
        <w:rPr>
          <w:rFonts w:ascii="Gambria" w:hAnsi="Gambria" w:cs="Arial"/>
          <w:sz w:val="22"/>
          <w:szCs w:val="22"/>
        </w:rPr>
        <w:t>an</w:t>
      </w:r>
      <w:r w:rsidRPr="00EE49C9">
        <w:rPr>
          <w:rFonts w:ascii="Gambria" w:hAnsi="Gambria" w:cs="Arial" w:hint="eastAsia"/>
          <w:sz w:val="22"/>
          <w:szCs w:val="22"/>
        </w:rPr>
        <w:t>é</w:t>
      </w:r>
      <w:r w:rsidRPr="00EE49C9">
        <w:rPr>
          <w:rFonts w:ascii="Gambria" w:hAnsi="Gambria" w:cs="Arial"/>
          <w:sz w:val="22"/>
          <w:szCs w:val="22"/>
        </w:rPr>
        <w:t>, u</w:t>
      </w:r>
      <w:r w:rsidRPr="00EE49C9">
        <w:rPr>
          <w:rFonts w:ascii="Gambria" w:hAnsi="Gambria" w:cs="Arial" w:hint="eastAsia"/>
          <w:sz w:val="22"/>
          <w:szCs w:val="22"/>
        </w:rPr>
        <w:t>ží</w:t>
      </w:r>
      <w:r w:rsidRPr="00EE49C9">
        <w:rPr>
          <w:rFonts w:ascii="Gambria" w:hAnsi="Gambria" w:cs="Arial"/>
          <w:sz w:val="22"/>
          <w:szCs w:val="22"/>
        </w:rPr>
        <w:t>va ich z</w:t>
      </w:r>
      <w:r w:rsidRPr="00EE49C9">
        <w:rPr>
          <w:rFonts w:ascii="Gambria" w:hAnsi="Gambria" w:cs="Arial" w:hint="eastAsia"/>
          <w:sz w:val="22"/>
          <w:szCs w:val="22"/>
        </w:rPr>
        <w:t> </w:t>
      </w:r>
      <w:r w:rsidRPr="00EE49C9">
        <w:rPr>
          <w:rFonts w:ascii="Gambria" w:hAnsi="Gambria" w:cs="Arial"/>
          <w:sz w:val="22"/>
          <w:szCs w:val="22"/>
        </w:rPr>
        <w:t>in</w:t>
      </w:r>
      <w:r w:rsidRPr="00EE49C9">
        <w:rPr>
          <w:rFonts w:ascii="Gambria" w:hAnsi="Gambria" w:cs="Arial" w:hint="eastAsia"/>
          <w:sz w:val="22"/>
          <w:szCs w:val="22"/>
        </w:rPr>
        <w:t>é</w:t>
      </w:r>
      <w:r w:rsidRPr="00EE49C9">
        <w:rPr>
          <w:rFonts w:ascii="Gambria" w:hAnsi="Gambria" w:cs="Arial"/>
          <w:sz w:val="22"/>
          <w:szCs w:val="22"/>
        </w:rPr>
        <w:t>ho d</w:t>
      </w:r>
      <w:r w:rsidRPr="00EE49C9">
        <w:rPr>
          <w:rFonts w:ascii="Gambria" w:hAnsi="Gambria" w:cs="Arial" w:hint="eastAsia"/>
          <w:sz w:val="22"/>
          <w:szCs w:val="22"/>
        </w:rPr>
        <w:t>ô</w:t>
      </w:r>
      <w:r w:rsidRPr="00EE49C9">
        <w:rPr>
          <w:rFonts w:ascii="Gambria" w:hAnsi="Gambria" w:cs="Arial"/>
          <w:sz w:val="22"/>
          <w:szCs w:val="22"/>
        </w:rPr>
        <w:t>vodu alebo ich m</w:t>
      </w:r>
      <w:r w:rsidRPr="00EE49C9">
        <w:rPr>
          <w:rFonts w:ascii="Gambria" w:hAnsi="Gambria" w:cs="Arial" w:hint="eastAsia"/>
          <w:sz w:val="22"/>
          <w:szCs w:val="22"/>
        </w:rPr>
        <w:t>á</w:t>
      </w:r>
      <w:r w:rsidRPr="00EE49C9">
        <w:rPr>
          <w:rFonts w:ascii="Gambria" w:hAnsi="Gambria" w:cs="Arial"/>
          <w:sz w:val="22"/>
          <w:szCs w:val="22"/>
        </w:rPr>
        <w:t xml:space="preserve"> pri sebe.</w:t>
      </w:r>
      <w:r w:rsidRPr="00EE49C9">
        <w:rPr>
          <w:rFonts w:ascii="Gambria" w:hAnsi="Gambria"/>
          <w:b/>
          <w:sz w:val="22"/>
          <w:szCs w:val="22"/>
        </w:rPr>
        <w:t xml:space="preserve"> </w:t>
      </w:r>
      <w:r w:rsidRPr="00EE49C9">
        <w:rPr>
          <w:rFonts w:ascii="Gambria" w:hAnsi="Gambria" w:cs="Arial"/>
          <w:sz w:val="22"/>
          <w:szCs w:val="22"/>
          <w:lang w:eastAsia="cs-CZ"/>
        </w:rPr>
        <w:t>Vyl</w:t>
      </w:r>
      <w:r w:rsidRPr="00EE49C9">
        <w:rPr>
          <w:rFonts w:ascii="Gambria" w:hAnsi="Gambria" w:cs="Arial" w:hint="eastAsia"/>
          <w:sz w:val="22"/>
          <w:szCs w:val="22"/>
          <w:lang w:eastAsia="cs-CZ"/>
        </w:rPr>
        <w:t>úč</w:t>
      </w:r>
      <w:r w:rsidRPr="00EE49C9">
        <w:rPr>
          <w:rFonts w:ascii="Gambria" w:hAnsi="Gambria" w:cs="Arial"/>
          <w:sz w:val="22"/>
          <w:szCs w:val="22"/>
          <w:lang w:eastAsia="cs-CZ"/>
        </w:rPr>
        <w:t>en</w:t>
      </w:r>
      <w:r w:rsidRPr="00EE49C9">
        <w:rPr>
          <w:rFonts w:ascii="Gambria" w:hAnsi="Gambria" w:cs="Arial" w:hint="eastAsia"/>
          <w:sz w:val="22"/>
          <w:szCs w:val="22"/>
          <w:lang w:eastAsia="cs-CZ"/>
        </w:rPr>
        <w:t>á</w:t>
      </w:r>
      <w:r w:rsidRPr="00EE49C9">
        <w:rPr>
          <w:rFonts w:ascii="Gambria" w:hAnsi="Gambria" w:cs="Arial"/>
          <w:sz w:val="22"/>
          <w:szCs w:val="22"/>
          <w:lang w:eastAsia="cs-CZ"/>
        </w:rPr>
        <w:t xml:space="preserve"> zost</w:t>
      </w:r>
      <w:r w:rsidRPr="00EE49C9">
        <w:rPr>
          <w:rFonts w:ascii="Gambria" w:hAnsi="Gambria" w:cs="Arial" w:hint="eastAsia"/>
          <w:sz w:val="22"/>
          <w:szCs w:val="22"/>
          <w:lang w:eastAsia="cs-CZ"/>
        </w:rPr>
        <w:t>á</w:t>
      </w:r>
      <w:r w:rsidRPr="00EE49C9">
        <w:rPr>
          <w:rFonts w:ascii="Gambria" w:hAnsi="Gambria" w:cs="Arial"/>
          <w:sz w:val="22"/>
          <w:szCs w:val="22"/>
          <w:lang w:eastAsia="cs-CZ"/>
        </w:rPr>
        <w:t>va zodpovednos</w:t>
      </w:r>
      <w:r w:rsidRPr="00EE49C9">
        <w:rPr>
          <w:rFonts w:ascii="Gambria" w:hAnsi="Gambria" w:cs="Arial" w:hint="eastAsia"/>
          <w:sz w:val="22"/>
          <w:szCs w:val="22"/>
          <w:lang w:eastAsia="cs-CZ"/>
        </w:rPr>
        <w:t>ť</w:t>
      </w:r>
      <w:r w:rsidRPr="00EE49C9">
        <w:rPr>
          <w:rFonts w:ascii="Gambria" w:hAnsi="Gambria" w:cs="Arial"/>
          <w:sz w:val="22"/>
          <w:szCs w:val="22"/>
          <w:lang w:eastAsia="cs-CZ"/>
        </w:rPr>
        <w:t xml:space="preserve"> za </w:t>
      </w:r>
      <w:r w:rsidRPr="00EE49C9">
        <w:rPr>
          <w:rFonts w:ascii="Gambria" w:hAnsi="Gambria" w:cs="Arial" w:hint="eastAsia"/>
          <w:sz w:val="22"/>
          <w:szCs w:val="22"/>
          <w:lang w:eastAsia="cs-CZ"/>
        </w:rPr>
        <w:t>š</w:t>
      </w:r>
      <w:r w:rsidRPr="00EE49C9">
        <w:rPr>
          <w:rFonts w:ascii="Gambria" w:hAnsi="Gambria" w:cs="Arial"/>
          <w:sz w:val="22"/>
          <w:szCs w:val="22"/>
          <w:lang w:eastAsia="cs-CZ"/>
        </w:rPr>
        <w:t>kodu:</w:t>
      </w:r>
    </w:p>
    <w:p w14:paraId="57B34057" w14:textId="77777777" w:rsidR="00A1602B" w:rsidRPr="00EE49C9" w:rsidRDefault="00A1602B" w:rsidP="00A1602B">
      <w:pPr>
        <w:numPr>
          <w:ilvl w:val="0"/>
          <w:numId w:val="25"/>
        </w:numPr>
        <w:spacing w:line="259" w:lineRule="auto"/>
        <w:ind w:left="567" w:firstLine="0"/>
        <w:jc w:val="both"/>
        <w:rPr>
          <w:rFonts w:ascii="Gambria" w:hAnsi="Gambria"/>
          <w:b/>
          <w:sz w:val="22"/>
          <w:szCs w:val="22"/>
        </w:rPr>
      </w:pPr>
      <w:r w:rsidRPr="00EE49C9">
        <w:rPr>
          <w:rFonts w:ascii="Gambria" w:hAnsi="Gambria" w:cs="Arial"/>
          <w:sz w:val="22"/>
          <w:szCs w:val="22"/>
          <w:lang w:eastAsia="cs-CZ"/>
        </w:rPr>
        <w:t>na veciach, ktor</w:t>
      </w:r>
      <w:r w:rsidRPr="00EE49C9">
        <w:rPr>
          <w:rFonts w:ascii="Gambria" w:hAnsi="Gambria" w:cs="Arial" w:hint="eastAsia"/>
          <w:sz w:val="22"/>
          <w:szCs w:val="22"/>
          <w:lang w:eastAsia="cs-CZ"/>
        </w:rPr>
        <w:t>é</w:t>
      </w:r>
      <w:r w:rsidRPr="00EE49C9">
        <w:rPr>
          <w:rFonts w:ascii="Gambria" w:hAnsi="Gambria" w:cs="Arial"/>
          <w:sz w:val="22"/>
          <w:szCs w:val="22"/>
          <w:lang w:eastAsia="cs-CZ"/>
        </w:rPr>
        <w:t xml:space="preserve"> poisten</w:t>
      </w:r>
      <w:r w:rsidRPr="00EE49C9">
        <w:rPr>
          <w:rFonts w:ascii="Gambria" w:hAnsi="Gambria" w:cs="Arial" w:hint="eastAsia"/>
          <w:sz w:val="22"/>
          <w:szCs w:val="22"/>
          <w:lang w:eastAsia="cs-CZ"/>
        </w:rPr>
        <w:t>ý</w:t>
      </w:r>
      <w:r w:rsidRPr="00EE49C9">
        <w:rPr>
          <w:rFonts w:ascii="Gambria" w:hAnsi="Gambria" w:cs="Arial"/>
          <w:sz w:val="22"/>
          <w:szCs w:val="22"/>
          <w:lang w:eastAsia="cs-CZ"/>
        </w:rPr>
        <w:t xml:space="preserve"> prevzal na z</w:t>
      </w:r>
      <w:r w:rsidRPr="00EE49C9">
        <w:rPr>
          <w:rFonts w:ascii="Gambria" w:hAnsi="Gambria" w:cs="Arial" w:hint="eastAsia"/>
          <w:sz w:val="22"/>
          <w:szCs w:val="22"/>
          <w:lang w:eastAsia="cs-CZ"/>
        </w:rPr>
        <w:t>á</w:t>
      </w:r>
      <w:r w:rsidRPr="00EE49C9">
        <w:rPr>
          <w:rFonts w:ascii="Gambria" w:hAnsi="Gambria" w:cs="Arial"/>
          <w:sz w:val="22"/>
          <w:szCs w:val="22"/>
          <w:lang w:eastAsia="cs-CZ"/>
        </w:rPr>
        <w:t>klade leasingovej zmluvy,</w:t>
      </w:r>
    </w:p>
    <w:p w14:paraId="12B8379A" w14:textId="77777777" w:rsidR="00A1602B" w:rsidRPr="00EE49C9" w:rsidRDefault="00A1602B" w:rsidP="00A1602B">
      <w:pPr>
        <w:numPr>
          <w:ilvl w:val="0"/>
          <w:numId w:val="25"/>
        </w:numPr>
        <w:spacing w:line="259" w:lineRule="auto"/>
        <w:ind w:left="567" w:firstLine="0"/>
        <w:jc w:val="both"/>
        <w:rPr>
          <w:rFonts w:ascii="Gambria" w:hAnsi="Gambria"/>
          <w:b/>
          <w:sz w:val="22"/>
          <w:szCs w:val="22"/>
        </w:rPr>
      </w:pPr>
      <w:r w:rsidRPr="00EE49C9">
        <w:rPr>
          <w:rFonts w:ascii="Gambria" w:hAnsi="Gambria" w:cs="Arial"/>
          <w:sz w:val="22"/>
          <w:szCs w:val="22"/>
          <w:lang w:eastAsia="cs-CZ"/>
        </w:rPr>
        <w:t>na veciach, ktor</w:t>
      </w:r>
      <w:r w:rsidRPr="00EE49C9">
        <w:rPr>
          <w:rFonts w:ascii="Gambria" w:hAnsi="Gambria" w:cs="Arial" w:hint="eastAsia"/>
          <w:sz w:val="22"/>
          <w:szCs w:val="22"/>
          <w:lang w:eastAsia="cs-CZ"/>
        </w:rPr>
        <w:t>é</w:t>
      </w:r>
      <w:r w:rsidRPr="00EE49C9">
        <w:rPr>
          <w:rFonts w:ascii="Gambria" w:hAnsi="Gambria" w:cs="Arial"/>
          <w:sz w:val="22"/>
          <w:szCs w:val="22"/>
          <w:lang w:eastAsia="cs-CZ"/>
        </w:rPr>
        <w:t xml:space="preserve"> poisten</w:t>
      </w:r>
      <w:r w:rsidRPr="00EE49C9">
        <w:rPr>
          <w:rFonts w:ascii="Gambria" w:hAnsi="Gambria" w:cs="Arial" w:hint="eastAsia"/>
          <w:sz w:val="22"/>
          <w:szCs w:val="22"/>
          <w:lang w:eastAsia="cs-CZ"/>
        </w:rPr>
        <w:t>ý</w:t>
      </w:r>
      <w:r w:rsidRPr="00EE49C9">
        <w:rPr>
          <w:rFonts w:ascii="Gambria" w:hAnsi="Gambria" w:cs="Arial"/>
          <w:sz w:val="22"/>
          <w:szCs w:val="22"/>
          <w:lang w:eastAsia="cs-CZ"/>
        </w:rPr>
        <w:t xml:space="preserve"> dr</w:t>
      </w:r>
      <w:r w:rsidRPr="00EE49C9">
        <w:rPr>
          <w:rFonts w:ascii="Gambria" w:hAnsi="Gambria" w:cs="Arial" w:hint="eastAsia"/>
          <w:sz w:val="22"/>
          <w:szCs w:val="22"/>
          <w:lang w:eastAsia="cs-CZ"/>
        </w:rPr>
        <w:t>ží</w:t>
      </w:r>
      <w:r w:rsidRPr="00EE49C9">
        <w:rPr>
          <w:rFonts w:ascii="Gambria" w:hAnsi="Gambria" w:cs="Arial"/>
          <w:sz w:val="22"/>
          <w:szCs w:val="22"/>
          <w:lang w:eastAsia="cs-CZ"/>
        </w:rPr>
        <w:t xml:space="preserve"> neopr</w:t>
      </w:r>
      <w:r w:rsidRPr="00EE49C9">
        <w:rPr>
          <w:rFonts w:ascii="Gambria" w:hAnsi="Gambria" w:cs="Arial" w:hint="eastAsia"/>
          <w:sz w:val="22"/>
          <w:szCs w:val="22"/>
          <w:lang w:eastAsia="cs-CZ"/>
        </w:rPr>
        <w:t>á</w:t>
      </w:r>
      <w:r w:rsidRPr="00EE49C9">
        <w:rPr>
          <w:rFonts w:ascii="Gambria" w:hAnsi="Gambria" w:cs="Arial"/>
          <w:sz w:val="22"/>
          <w:szCs w:val="22"/>
          <w:lang w:eastAsia="cs-CZ"/>
        </w:rPr>
        <w:t>vnene.</w:t>
      </w:r>
    </w:p>
    <w:p w14:paraId="4039DB4C"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nehnute</w:t>
      </w:r>
      <w:r w:rsidRPr="00EE49C9">
        <w:rPr>
          <w:rFonts w:ascii="Gambria" w:hAnsi="Gambria" w:cs="Arial" w:hint="eastAsia"/>
          <w:b/>
          <w:sz w:val="22"/>
          <w:szCs w:val="22"/>
        </w:rPr>
        <w:t>ľ</w:t>
      </w:r>
      <w:r w:rsidRPr="00EE49C9">
        <w:rPr>
          <w:rFonts w:ascii="Gambria" w:hAnsi="Gambria" w:cs="Arial"/>
          <w:b/>
          <w:sz w:val="22"/>
          <w:szCs w:val="22"/>
        </w:rPr>
        <w:t>nost</w:t>
      </w:r>
      <w:r w:rsidRPr="00EE49C9">
        <w:rPr>
          <w:rFonts w:ascii="Gambria" w:hAnsi="Gambria" w:cs="Arial" w:hint="eastAsia"/>
          <w:b/>
          <w:sz w:val="22"/>
          <w:szCs w:val="22"/>
        </w:rPr>
        <w:t>í</w:t>
      </w:r>
      <w:r w:rsidRPr="00EE49C9">
        <w:rPr>
          <w:rFonts w:ascii="Gambria" w:hAnsi="Gambria" w:cs="Arial"/>
          <w:b/>
          <w:sz w:val="22"/>
          <w:szCs w:val="22"/>
        </w:rPr>
        <w:t xml:space="preserve"> v</w:t>
      </w:r>
      <w:r w:rsidRPr="00EE49C9">
        <w:rPr>
          <w:rFonts w:ascii="Gambria" w:hAnsi="Gambria" w:cs="Arial" w:hint="eastAsia"/>
          <w:b/>
          <w:sz w:val="22"/>
          <w:szCs w:val="22"/>
        </w:rPr>
        <w:t> </w:t>
      </w:r>
      <w:r w:rsidRPr="00EE49C9">
        <w:rPr>
          <w:rFonts w:ascii="Gambria" w:hAnsi="Gambria" w:cs="Arial"/>
          <w:b/>
          <w:sz w:val="22"/>
          <w:szCs w:val="22"/>
        </w:rPr>
        <w:t>n</w:t>
      </w:r>
      <w:r w:rsidRPr="00EE49C9">
        <w:rPr>
          <w:rFonts w:ascii="Gambria" w:hAnsi="Gambria" w:cs="Arial" w:hint="eastAsia"/>
          <w:b/>
          <w:sz w:val="22"/>
          <w:szCs w:val="22"/>
        </w:rPr>
        <w:t>á</w:t>
      </w:r>
      <w:r w:rsidRPr="00EE49C9">
        <w:rPr>
          <w:rFonts w:ascii="Gambria" w:hAnsi="Gambria" w:cs="Arial"/>
          <w:b/>
          <w:sz w:val="22"/>
          <w:szCs w:val="22"/>
        </w:rPr>
        <w:t>jme</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vzniknut</w:t>
      </w:r>
      <w:r w:rsidRPr="00EE49C9">
        <w:rPr>
          <w:rFonts w:ascii="Gambria" w:hAnsi="Gambria" w:cs="Arial" w:hint="eastAsia"/>
          <w:sz w:val="22"/>
          <w:szCs w:val="22"/>
        </w:rPr>
        <w:t>ú</w:t>
      </w:r>
      <w:r w:rsidRPr="00EE49C9">
        <w:rPr>
          <w:rFonts w:ascii="Gambria" w:hAnsi="Gambria" w:cs="Arial"/>
          <w:sz w:val="22"/>
          <w:szCs w:val="22"/>
        </w:rPr>
        <w:t xml:space="preserve"> na nehnute</w:t>
      </w:r>
      <w:r w:rsidRPr="00EE49C9">
        <w:rPr>
          <w:rFonts w:ascii="Gambria" w:hAnsi="Gambria" w:cs="Arial" w:hint="eastAsia"/>
          <w:sz w:val="22"/>
          <w:szCs w:val="22"/>
        </w:rPr>
        <w:t>ľ</w:t>
      </w:r>
      <w:r w:rsidRPr="00EE49C9">
        <w:rPr>
          <w:rFonts w:ascii="Gambria" w:hAnsi="Gambria" w:cs="Arial"/>
          <w:sz w:val="22"/>
          <w:szCs w:val="22"/>
        </w:rPr>
        <w:t>nostiach, ktor</w:t>
      </w:r>
      <w:r w:rsidRPr="00EE49C9">
        <w:rPr>
          <w:rFonts w:ascii="Gambria" w:hAnsi="Gambria" w:cs="Arial" w:hint="eastAsia"/>
          <w:sz w:val="22"/>
          <w:szCs w:val="22"/>
        </w:rPr>
        <w:t>é</w:t>
      </w:r>
      <w:r w:rsidRPr="00EE49C9">
        <w:rPr>
          <w:rFonts w:ascii="Gambria" w:hAnsi="Gambria" w:cs="Arial"/>
          <w:sz w:val="22"/>
          <w:szCs w:val="22"/>
        </w:rPr>
        <w:t xml:space="preserve">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na prev</w:t>
      </w:r>
      <w:r w:rsidRPr="00EE49C9">
        <w:rPr>
          <w:rFonts w:ascii="Gambria" w:hAnsi="Gambria" w:cs="Arial" w:hint="eastAsia"/>
          <w:sz w:val="22"/>
          <w:szCs w:val="22"/>
        </w:rPr>
        <w:t>á</w:t>
      </w:r>
      <w:r w:rsidRPr="00EE49C9">
        <w:rPr>
          <w:rFonts w:ascii="Gambria" w:hAnsi="Gambria" w:cs="Arial"/>
          <w:sz w:val="22"/>
          <w:szCs w:val="22"/>
        </w:rPr>
        <w:t xml:space="preserve">dzkovanie svojej  </w:t>
      </w:r>
      <w:r w:rsidRPr="00EE49C9">
        <w:rPr>
          <w:rFonts w:ascii="Gambria" w:hAnsi="Gambria" w:cs="Arial" w:hint="eastAsia"/>
          <w:sz w:val="22"/>
          <w:szCs w:val="22"/>
        </w:rPr>
        <w:t>č</w:t>
      </w:r>
      <w:r w:rsidRPr="00EE49C9">
        <w:rPr>
          <w:rFonts w:ascii="Gambria" w:hAnsi="Gambria" w:cs="Arial"/>
          <w:sz w:val="22"/>
          <w:szCs w:val="22"/>
        </w:rPr>
        <w:t>innosti, m</w:t>
      </w:r>
      <w:r w:rsidRPr="00EE49C9">
        <w:rPr>
          <w:rFonts w:ascii="Gambria" w:hAnsi="Gambria" w:cs="Arial" w:hint="eastAsia"/>
          <w:sz w:val="22"/>
          <w:szCs w:val="22"/>
        </w:rPr>
        <w:t>á</w:t>
      </w:r>
      <w:r w:rsidRPr="00EE49C9">
        <w:rPr>
          <w:rFonts w:ascii="Gambria" w:hAnsi="Gambria" w:cs="Arial"/>
          <w:sz w:val="22"/>
          <w:szCs w:val="22"/>
        </w:rPr>
        <w:t xml:space="preserve"> ich v</w:t>
      </w:r>
      <w:r w:rsidRPr="00EE49C9">
        <w:rPr>
          <w:rFonts w:ascii="Gambria" w:hAnsi="Gambria" w:cs="Arial" w:hint="eastAsia"/>
          <w:sz w:val="22"/>
          <w:szCs w:val="22"/>
        </w:rPr>
        <w:t> </w:t>
      </w:r>
      <w:r w:rsidRPr="00EE49C9">
        <w:rPr>
          <w:rFonts w:ascii="Gambria" w:hAnsi="Gambria" w:cs="Arial"/>
          <w:sz w:val="22"/>
          <w:szCs w:val="22"/>
        </w:rPr>
        <w:t>spr</w:t>
      </w:r>
      <w:r w:rsidRPr="00EE49C9">
        <w:rPr>
          <w:rFonts w:ascii="Gambria" w:hAnsi="Gambria" w:cs="Arial" w:hint="eastAsia"/>
          <w:sz w:val="22"/>
          <w:szCs w:val="22"/>
        </w:rPr>
        <w:t>á</w:t>
      </w:r>
      <w:r w:rsidRPr="00EE49C9">
        <w:rPr>
          <w:rFonts w:ascii="Gambria" w:hAnsi="Gambria" w:cs="Arial"/>
          <w:sz w:val="22"/>
          <w:szCs w:val="22"/>
        </w:rPr>
        <w:t>ve, alebo ich u</w:t>
      </w:r>
      <w:r w:rsidRPr="00EE49C9">
        <w:rPr>
          <w:rFonts w:ascii="Gambria" w:hAnsi="Gambria" w:cs="Arial" w:hint="eastAsia"/>
          <w:sz w:val="22"/>
          <w:szCs w:val="22"/>
        </w:rPr>
        <w:t>ží</w:t>
      </w:r>
      <w:r w:rsidRPr="00EE49C9">
        <w:rPr>
          <w:rFonts w:ascii="Gambria" w:hAnsi="Gambria" w:cs="Arial"/>
          <w:sz w:val="22"/>
          <w:szCs w:val="22"/>
        </w:rPr>
        <w:t>va z</w:t>
      </w:r>
      <w:r w:rsidRPr="00EE49C9">
        <w:rPr>
          <w:rFonts w:ascii="Gambria" w:hAnsi="Gambria" w:cs="Arial" w:hint="eastAsia"/>
          <w:sz w:val="22"/>
          <w:szCs w:val="22"/>
        </w:rPr>
        <w:t> </w:t>
      </w:r>
      <w:r w:rsidRPr="00EE49C9">
        <w:rPr>
          <w:rFonts w:ascii="Gambria" w:hAnsi="Gambria" w:cs="Arial"/>
          <w:sz w:val="22"/>
          <w:szCs w:val="22"/>
        </w:rPr>
        <w:t>in</w:t>
      </w:r>
      <w:r w:rsidRPr="00EE49C9">
        <w:rPr>
          <w:rFonts w:ascii="Gambria" w:hAnsi="Gambria" w:cs="Arial" w:hint="eastAsia"/>
          <w:sz w:val="22"/>
          <w:szCs w:val="22"/>
        </w:rPr>
        <w:t>é</w:t>
      </w:r>
      <w:r w:rsidRPr="00EE49C9">
        <w:rPr>
          <w:rFonts w:ascii="Gambria" w:hAnsi="Gambria" w:cs="Arial"/>
          <w:sz w:val="22"/>
          <w:szCs w:val="22"/>
        </w:rPr>
        <w:t>ho pr</w:t>
      </w:r>
      <w:r w:rsidRPr="00EE49C9">
        <w:rPr>
          <w:rFonts w:ascii="Gambria" w:hAnsi="Gambria" w:cs="Arial" w:hint="eastAsia"/>
          <w:sz w:val="22"/>
          <w:szCs w:val="22"/>
        </w:rPr>
        <w:t>á</w:t>
      </w:r>
      <w:r w:rsidRPr="00EE49C9">
        <w:rPr>
          <w:rFonts w:ascii="Gambria" w:hAnsi="Gambria" w:cs="Arial"/>
          <w:sz w:val="22"/>
          <w:szCs w:val="22"/>
        </w:rPr>
        <w:t>vneho d</w:t>
      </w:r>
      <w:r w:rsidRPr="00EE49C9">
        <w:rPr>
          <w:rFonts w:ascii="Gambria" w:hAnsi="Gambria" w:cs="Arial" w:hint="eastAsia"/>
          <w:sz w:val="22"/>
          <w:szCs w:val="22"/>
        </w:rPr>
        <w:t>ô</w:t>
      </w:r>
      <w:r w:rsidRPr="00EE49C9">
        <w:rPr>
          <w:rFonts w:ascii="Gambria" w:hAnsi="Gambria" w:cs="Arial"/>
          <w:sz w:val="22"/>
          <w:szCs w:val="22"/>
        </w:rPr>
        <w:t>vodu, pokia</w:t>
      </w:r>
      <w:r w:rsidRPr="00EE49C9">
        <w:rPr>
          <w:rFonts w:ascii="Gambria" w:hAnsi="Gambria" w:cs="Arial" w:hint="eastAsia"/>
          <w:sz w:val="22"/>
          <w:szCs w:val="22"/>
        </w:rPr>
        <w:t>ľ</w:t>
      </w:r>
      <w:r w:rsidRPr="00EE49C9">
        <w:rPr>
          <w:rFonts w:ascii="Gambria" w:hAnsi="Gambria" w:cs="Arial"/>
          <w:sz w:val="22"/>
          <w:szCs w:val="22"/>
        </w:rPr>
        <w:t xml:space="preserve"> za tak</w:t>
      </w:r>
      <w:r w:rsidRPr="00EE49C9">
        <w:rPr>
          <w:rFonts w:ascii="Gambria" w:hAnsi="Gambria" w:cs="Arial" w:hint="eastAsia"/>
          <w:sz w:val="22"/>
          <w:szCs w:val="22"/>
        </w:rPr>
        <w:t>é</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kody zo z</w:t>
      </w:r>
      <w:r w:rsidRPr="00EE49C9">
        <w:rPr>
          <w:rFonts w:ascii="Gambria" w:hAnsi="Gambria" w:cs="Arial" w:hint="eastAsia"/>
          <w:sz w:val="22"/>
          <w:szCs w:val="22"/>
        </w:rPr>
        <w:t>á</w:t>
      </w:r>
      <w:r w:rsidRPr="00EE49C9">
        <w:rPr>
          <w:rFonts w:ascii="Gambria" w:hAnsi="Gambria" w:cs="Arial"/>
          <w:sz w:val="22"/>
          <w:szCs w:val="22"/>
        </w:rPr>
        <w:t>kona zodpoved</w:t>
      </w:r>
      <w:r w:rsidRPr="00EE49C9">
        <w:rPr>
          <w:rFonts w:ascii="Gambria" w:hAnsi="Gambria" w:cs="Arial" w:hint="eastAsia"/>
          <w:sz w:val="22"/>
          <w:szCs w:val="22"/>
        </w:rPr>
        <w:t>á</w:t>
      </w:r>
      <w:r w:rsidRPr="00EE49C9">
        <w:rPr>
          <w:rFonts w:ascii="Gambria" w:hAnsi="Gambria" w:cs="Arial"/>
          <w:sz w:val="22"/>
          <w:szCs w:val="22"/>
        </w:rPr>
        <w:t>.</w:t>
      </w:r>
    </w:p>
    <w:p w14:paraId="069ECFF9"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zodpovednosti z</w:t>
      </w:r>
      <w:r w:rsidRPr="00EE49C9">
        <w:rPr>
          <w:rFonts w:ascii="Gambria" w:hAnsi="Gambria" w:cs="Arial" w:hint="eastAsia"/>
          <w:b/>
          <w:sz w:val="22"/>
          <w:szCs w:val="22"/>
        </w:rPr>
        <w:t> </w:t>
      </w:r>
      <w:r w:rsidRPr="00EE49C9">
        <w:rPr>
          <w:rFonts w:ascii="Gambria" w:hAnsi="Gambria" w:cs="Arial"/>
          <w:b/>
          <w:sz w:val="22"/>
          <w:szCs w:val="22"/>
        </w:rPr>
        <w:t>titulu v</w:t>
      </w:r>
      <w:r w:rsidRPr="00EE49C9">
        <w:rPr>
          <w:rFonts w:ascii="Gambria" w:hAnsi="Gambria" w:cs="Arial" w:hint="eastAsia"/>
          <w:b/>
          <w:sz w:val="22"/>
          <w:szCs w:val="22"/>
        </w:rPr>
        <w:t>ý</w:t>
      </w:r>
      <w:r w:rsidRPr="00EE49C9">
        <w:rPr>
          <w:rFonts w:ascii="Gambria" w:hAnsi="Gambria" w:cs="Arial"/>
          <w:b/>
          <w:sz w:val="22"/>
          <w:szCs w:val="22"/>
        </w:rPr>
        <w:t>konu vlastn</w:t>
      </w:r>
      <w:r w:rsidRPr="00EE49C9">
        <w:rPr>
          <w:rFonts w:ascii="Gambria" w:hAnsi="Gambria" w:cs="Arial" w:hint="eastAsia"/>
          <w:b/>
          <w:sz w:val="22"/>
          <w:szCs w:val="22"/>
        </w:rPr>
        <w:t>í</w:t>
      </w:r>
      <w:r w:rsidRPr="00EE49C9">
        <w:rPr>
          <w:rFonts w:ascii="Gambria" w:hAnsi="Gambria" w:cs="Arial"/>
          <w:b/>
          <w:sz w:val="22"/>
          <w:szCs w:val="22"/>
        </w:rPr>
        <w:t>ckeho pr</w:t>
      </w:r>
      <w:r w:rsidRPr="00EE49C9">
        <w:rPr>
          <w:rFonts w:ascii="Gambria" w:hAnsi="Gambria" w:cs="Arial" w:hint="eastAsia"/>
          <w:b/>
          <w:sz w:val="22"/>
          <w:szCs w:val="22"/>
        </w:rPr>
        <w:t>á</w:t>
      </w:r>
      <w:r w:rsidRPr="00EE49C9">
        <w:rPr>
          <w:rFonts w:ascii="Gambria" w:hAnsi="Gambria" w:cs="Arial"/>
          <w:b/>
          <w:sz w:val="22"/>
          <w:szCs w:val="22"/>
        </w:rPr>
        <w:t>va a</w:t>
      </w:r>
      <w:r w:rsidRPr="00EE49C9">
        <w:rPr>
          <w:rFonts w:ascii="Gambria" w:hAnsi="Gambria" w:cs="Arial" w:hint="eastAsia"/>
          <w:b/>
          <w:sz w:val="22"/>
          <w:szCs w:val="22"/>
        </w:rPr>
        <w:t> </w:t>
      </w:r>
      <w:r w:rsidRPr="00EE49C9">
        <w:rPr>
          <w:rFonts w:ascii="Gambria" w:hAnsi="Gambria" w:cs="Arial"/>
          <w:b/>
          <w:sz w:val="22"/>
          <w:szCs w:val="22"/>
        </w:rPr>
        <w:t>prev</w:t>
      </w:r>
      <w:r w:rsidRPr="00EE49C9">
        <w:rPr>
          <w:rFonts w:ascii="Gambria" w:hAnsi="Gambria" w:cs="Arial" w:hint="eastAsia"/>
          <w:b/>
          <w:sz w:val="22"/>
          <w:szCs w:val="22"/>
        </w:rPr>
        <w:t>á</w:t>
      </w:r>
      <w:r w:rsidRPr="00EE49C9">
        <w:rPr>
          <w:rFonts w:ascii="Gambria" w:hAnsi="Gambria" w:cs="Arial"/>
          <w:b/>
          <w:sz w:val="22"/>
          <w:szCs w:val="22"/>
        </w:rPr>
        <w:t>dzky nehnute</w:t>
      </w:r>
      <w:r w:rsidRPr="00EE49C9">
        <w:rPr>
          <w:rFonts w:ascii="Gambria" w:hAnsi="Gambria" w:cs="Arial" w:hint="eastAsia"/>
          <w:b/>
          <w:sz w:val="22"/>
          <w:szCs w:val="22"/>
        </w:rPr>
        <w:t>ľ</w:t>
      </w:r>
      <w:r w:rsidRPr="00EE49C9">
        <w:rPr>
          <w:rFonts w:ascii="Gambria" w:hAnsi="Gambria" w:cs="Arial"/>
          <w:b/>
          <w:sz w:val="22"/>
          <w:szCs w:val="22"/>
        </w:rPr>
        <w:t>nost</w:t>
      </w:r>
      <w:r w:rsidRPr="00EE49C9">
        <w:rPr>
          <w:rFonts w:ascii="Gambria" w:hAnsi="Gambria" w:cs="Arial" w:hint="eastAsia"/>
          <w:b/>
          <w:sz w:val="22"/>
          <w:szCs w:val="22"/>
        </w:rPr>
        <w:t>í</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kody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é</w:t>
      </w:r>
      <w:r w:rsidRPr="00EE49C9">
        <w:rPr>
          <w:rFonts w:ascii="Gambria" w:hAnsi="Gambria" w:cs="Arial"/>
          <w:sz w:val="22"/>
          <w:szCs w:val="22"/>
        </w:rPr>
        <w:t xml:space="preserve"> v</w:t>
      </w:r>
      <w:r w:rsidRPr="00EE49C9">
        <w:rPr>
          <w:rFonts w:ascii="Gambria" w:hAnsi="Gambria" w:cs="Arial" w:hint="eastAsia"/>
          <w:sz w:val="22"/>
          <w:szCs w:val="22"/>
        </w:rPr>
        <w:t>ý</w:t>
      </w:r>
      <w:r w:rsidRPr="00EE49C9">
        <w:rPr>
          <w:rFonts w:ascii="Gambria" w:hAnsi="Gambria" w:cs="Arial"/>
          <w:sz w:val="22"/>
          <w:szCs w:val="22"/>
        </w:rPr>
        <w:t>konom vlastn</w:t>
      </w:r>
      <w:r w:rsidRPr="00EE49C9">
        <w:rPr>
          <w:rFonts w:ascii="Gambria" w:hAnsi="Gambria" w:cs="Arial" w:hint="eastAsia"/>
          <w:sz w:val="22"/>
          <w:szCs w:val="22"/>
        </w:rPr>
        <w:t>í</w:t>
      </w:r>
      <w:r w:rsidRPr="00EE49C9">
        <w:rPr>
          <w:rFonts w:ascii="Gambria" w:hAnsi="Gambria" w:cs="Arial"/>
          <w:sz w:val="22"/>
          <w:szCs w:val="22"/>
        </w:rPr>
        <w:t>ckeho pr</w:t>
      </w:r>
      <w:r w:rsidRPr="00EE49C9">
        <w:rPr>
          <w:rFonts w:ascii="Gambria" w:hAnsi="Gambria" w:cs="Arial" w:hint="eastAsia"/>
          <w:sz w:val="22"/>
          <w:szCs w:val="22"/>
        </w:rPr>
        <w:t>á</w:t>
      </w:r>
      <w:r w:rsidRPr="00EE49C9">
        <w:rPr>
          <w:rFonts w:ascii="Gambria" w:hAnsi="Gambria" w:cs="Arial"/>
          <w:sz w:val="22"/>
          <w:szCs w:val="22"/>
        </w:rPr>
        <w:t>va, prev</w:t>
      </w:r>
      <w:r w:rsidRPr="00EE49C9">
        <w:rPr>
          <w:rFonts w:ascii="Gambria" w:hAnsi="Gambria" w:cs="Arial" w:hint="eastAsia"/>
          <w:sz w:val="22"/>
          <w:szCs w:val="22"/>
        </w:rPr>
        <w:t>á</w:t>
      </w:r>
      <w:r w:rsidRPr="00EE49C9">
        <w:rPr>
          <w:rFonts w:ascii="Gambria" w:hAnsi="Gambria" w:cs="Arial"/>
          <w:sz w:val="22"/>
          <w:szCs w:val="22"/>
        </w:rPr>
        <w:t>dzkou a</w:t>
      </w:r>
      <w:r w:rsidRPr="00EE49C9">
        <w:rPr>
          <w:rFonts w:ascii="Gambria" w:hAnsi="Gambria" w:cs="Arial" w:hint="eastAsia"/>
          <w:sz w:val="22"/>
          <w:szCs w:val="22"/>
        </w:rPr>
        <w:t> </w:t>
      </w:r>
      <w:r w:rsidRPr="00EE49C9">
        <w:rPr>
          <w:rFonts w:ascii="Gambria" w:hAnsi="Gambria" w:cs="Arial"/>
          <w:sz w:val="22"/>
          <w:szCs w:val="22"/>
        </w:rPr>
        <w:t>spr</w:t>
      </w:r>
      <w:r w:rsidRPr="00EE49C9">
        <w:rPr>
          <w:rFonts w:ascii="Gambria" w:hAnsi="Gambria" w:cs="Arial" w:hint="eastAsia"/>
          <w:sz w:val="22"/>
          <w:szCs w:val="22"/>
        </w:rPr>
        <w:t>á</w:t>
      </w:r>
      <w:r w:rsidRPr="00EE49C9">
        <w:rPr>
          <w:rFonts w:ascii="Gambria" w:hAnsi="Gambria" w:cs="Arial"/>
          <w:sz w:val="22"/>
          <w:szCs w:val="22"/>
        </w:rPr>
        <w:t>vou nehnute</w:t>
      </w:r>
      <w:r w:rsidRPr="00EE49C9">
        <w:rPr>
          <w:rFonts w:ascii="Gambria" w:hAnsi="Gambria" w:cs="Arial" w:hint="eastAsia"/>
          <w:sz w:val="22"/>
          <w:szCs w:val="22"/>
        </w:rPr>
        <w:t>ľ</w:t>
      </w:r>
      <w:r w:rsidRPr="00EE49C9">
        <w:rPr>
          <w:rFonts w:ascii="Gambria" w:hAnsi="Gambria" w:cs="Arial"/>
          <w:sz w:val="22"/>
          <w:szCs w:val="22"/>
        </w:rPr>
        <w:t>nost</w:t>
      </w:r>
      <w:r w:rsidRPr="00EE49C9">
        <w:rPr>
          <w:rFonts w:ascii="Gambria" w:hAnsi="Gambria" w:cs="Arial" w:hint="eastAsia"/>
          <w:sz w:val="22"/>
          <w:szCs w:val="22"/>
        </w:rPr>
        <w:t>í</w:t>
      </w:r>
      <w:r w:rsidRPr="00EE49C9">
        <w:rPr>
          <w:rFonts w:ascii="Gambria" w:hAnsi="Gambria" w:cs="Arial"/>
          <w:sz w:val="22"/>
          <w:szCs w:val="22"/>
        </w:rPr>
        <w:t>, ktor</w:t>
      </w:r>
      <w:r w:rsidRPr="00EE49C9">
        <w:rPr>
          <w:rFonts w:ascii="Gambria" w:hAnsi="Gambria" w:cs="Arial" w:hint="eastAsia"/>
          <w:sz w:val="22"/>
          <w:szCs w:val="22"/>
        </w:rPr>
        <w:t>é</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vlastn</w:t>
      </w:r>
      <w:r w:rsidRPr="00EE49C9">
        <w:rPr>
          <w:rFonts w:ascii="Gambria" w:hAnsi="Gambria" w:cs="Arial" w:hint="eastAsia"/>
          <w:sz w:val="22"/>
          <w:szCs w:val="22"/>
        </w:rPr>
        <w:t>í</w:t>
      </w:r>
      <w:r w:rsidRPr="00EE49C9">
        <w:rPr>
          <w:rFonts w:ascii="Gambria" w:hAnsi="Gambria" w:cs="Arial"/>
          <w:sz w:val="22"/>
          <w:szCs w:val="22"/>
        </w:rPr>
        <w:t>, m</w:t>
      </w:r>
      <w:r w:rsidRPr="00EE49C9">
        <w:rPr>
          <w:rFonts w:ascii="Gambria" w:hAnsi="Gambria" w:cs="Arial" w:hint="eastAsia"/>
          <w:sz w:val="22"/>
          <w:szCs w:val="22"/>
        </w:rPr>
        <w:t>á</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alebo ich inak u</w:t>
      </w:r>
      <w:r w:rsidRPr="00EE49C9">
        <w:rPr>
          <w:rFonts w:ascii="Gambria" w:hAnsi="Gambria" w:cs="Arial" w:hint="eastAsia"/>
          <w:sz w:val="22"/>
          <w:szCs w:val="22"/>
        </w:rPr>
        <w:t>ží</w:t>
      </w:r>
      <w:r w:rsidRPr="00EE49C9">
        <w:rPr>
          <w:rFonts w:ascii="Gambria" w:hAnsi="Gambria" w:cs="Arial"/>
          <w:sz w:val="22"/>
          <w:szCs w:val="22"/>
        </w:rPr>
        <w:t>va, pokia</w:t>
      </w:r>
      <w:r w:rsidRPr="00EE49C9">
        <w:rPr>
          <w:rFonts w:ascii="Gambria" w:hAnsi="Gambria" w:cs="Arial" w:hint="eastAsia"/>
          <w:sz w:val="22"/>
          <w:szCs w:val="22"/>
        </w:rPr>
        <w:t>ľ</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za tak</w:t>
      </w:r>
      <w:r w:rsidRPr="00EE49C9">
        <w:rPr>
          <w:rFonts w:ascii="Gambria" w:hAnsi="Gambria" w:cs="Arial" w:hint="eastAsia"/>
          <w:sz w:val="22"/>
          <w:szCs w:val="22"/>
        </w:rPr>
        <w:t>ú</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kodu zodpoved</w:t>
      </w:r>
      <w:r w:rsidRPr="00EE49C9">
        <w:rPr>
          <w:rFonts w:ascii="Gambria" w:hAnsi="Gambria" w:cs="Arial" w:hint="eastAsia"/>
          <w:sz w:val="22"/>
          <w:szCs w:val="22"/>
        </w:rPr>
        <w:t>á</w:t>
      </w:r>
      <w:r w:rsidRPr="00EE49C9">
        <w:rPr>
          <w:rFonts w:ascii="Gambria" w:hAnsi="Gambria" w:cs="Arial"/>
          <w:sz w:val="22"/>
          <w:szCs w:val="22"/>
        </w:rPr>
        <w:t xml:space="preserve"> pod</w:t>
      </w:r>
      <w:r w:rsidRPr="00EE49C9">
        <w:rPr>
          <w:rFonts w:ascii="Gambria" w:hAnsi="Gambria" w:cs="Arial" w:hint="eastAsia"/>
          <w:sz w:val="22"/>
          <w:szCs w:val="22"/>
        </w:rPr>
        <w:t>ľ</w:t>
      </w:r>
      <w:r w:rsidRPr="00EE49C9">
        <w:rPr>
          <w:rFonts w:ascii="Gambria" w:hAnsi="Gambria" w:cs="Arial"/>
          <w:sz w:val="22"/>
          <w:szCs w:val="22"/>
        </w:rPr>
        <w:t>a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vnych predpisov.</w:t>
      </w:r>
    </w:p>
    <w:p w14:paraId="159D4360"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vec</w:t>
      </w:r>
      <w:r w:rsidRPr="00EE49C9">
        <w:rPr>
          <w:rFonts w:ascii="Gambria" w:hAnsi="Gambria" w:cs="Arial" w:hint="eastAsia"/>
          <w:b/>
          <w:sz w:val="22"/>
          <w:szCs w:val="22"/>
        </w:rPr>
        <w:t>í</w:t>
      </w:r>
      <w:r w:rsidRPr="00EE49C9">
        <w:rPr>
          <w:rFonts w:ascii="Gambria" w:hAnsi="Gambria" w:cs="Arial"/>
          <w:b/>
          <w:sz w:val="22"/>
          <w:szCs w:val="22"/>
        </w:rPr>
        <w:t xml:space="preserve"> zamestnancov</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 xml:space="preserve">ahuje na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na veciach zamestnancov, pri</w:t>
      </w:r>
      <w:r w:rsidRPr="00EE49C9">
        <w:rPr>
          <w:rFonts w:ascii="Gambria" w:hAnsi="Gambria" w:cs="Arial" w:hint="eastAsia"/>
          <w:sz w:val="22"/>
          <w:szCs w:val="22"/>
        </w:rPr>
        <w:t>č</w:t>
      </w:r>
      <w:r w:rsidRPr="00EE49C9">
        <w:rPr>
          <w:rFonts w:ascii="Gambria" w:hAnsi="Gambria" w:cs="Arial"/>
          <w:sz w:val="22"/>
          <w:szCs w:val="22"/>
        </w:rPr>
        <w:t xml:space="preserve">om pod pojmom </w:t>
      </w:r>
      <w:r w:rsidRPr="00EE49C9">
        <w:rPr>
          <w:rFonts w:ascii="Gambria" w:hAnsi="Gambria" w:cs="Arial" w:hint="eastAsia"/>
          <w:sz w:val="22"/>
          <w:szCs w:val="22"/>
        </w:rPr>
        <w:t>„š</w:t>
      </w:r>
      <w:r w:rsidRPr="00EE49C9">
        <w:rPr>
          <w:rFonts w:ascii="Gambria" w:hAnsi="Gambria" w:cs="Arial"/>
          <w:sz w:val="22"/>
          <w:szCs w:val="22"/>
        </w:rPr>
        <w:t>koda</w:t>
      </w:r>
      <w:r w:rsidRPr="00EE49C9">
        <w:rPr>
          <w:rFonts w:ascii="Gambria" w:hAnsi="Gambria" w:cs="Arial" w:hint="eastAsia"/>
          <w:sz w:val="22"/>
          <w:szCs w:val="22"/>
        </w:rPr>
        <w:t>“</w:t>
      </w:r>
      <w:r w:rsidRPr="00EE49C9">
        <w:rPr>
          <w:rFonts w:ascii="Gambria" w:hAnsi="Gambria" w:cs="Arial"/>
          <w:sz w:val="22"/>
          <w:szCs w:val="22"/>
        </w:rPr>
        <w:t xml:space="preserve"> sa rozumie  aj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 xml:space="preserve"> veci, av</w:t>
      </w:r>
      <w:r w:rsidRPr="00EE49C9">
        <w:rPr>
          <w:rFonts w:ascii="Gambria" w:hAnsi="Gambria" w:cs="Arial" w:hint="eastAsia"/>
          <w:sz w:val="22"/>
          <w:szCs w:val="22"/>
        </w:rPr>
        <w:t>š</w:t>
      </w:r>
      <w:r w:rsidRPr="00EE49C9">
        <w:rPr>
          <w:rFonts w:ascii="Gambria" w:hAnsi="Gambria" w:cs="Arial"/>
          <w:sz w:val="22"/>
          <w:szCs w:val="22"/>
        </w:rPr>
        <w:t xml:space="preserve">ak len za predpokladu, </w:t>
      </w:r>
      <w:r w:rsidRPr="00EE49C9">
        <w:rPr>
          <w:rFonts w:ascii="Gambria" w:hAnsi="Gambria" w:cs="Arial" w:hint="eastAsia"/>
          <w:sz w:val="22"/>
          <w:szCs w:val="22"/>
        </w:rPr>
        <w:t>ž</w:t>
      </w:r>
      <w:r w:rsidRPr="00EE49C9">
        <w:rPr>
          <w:rFonts w:ascii="Gambria" w:hAnsi="Gambria" w:cs="Arial"/>
          <w:sz w:val="22"/>
          <w:szCs w:val="22"/>
        </w:rPr>
        <w:t>e ku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i do</w:t>
      </w:r>
      <w:r w:rsidRPr="00EE49C9">
        <w:rPr>
          <w:rFonts w:ascii="Gambria" w:hAnsi="Gambria" w:cs="Arial" w:hint="eastAsia"/>
          <w:sz w:val="22"/>
          <w:szCs w:val="22"/>
        </w:rPr>
        <w:t>š</w:t>
      </w:r>
      <w:r w:rsidRPr="00EE49C9">
        <w:rPr>
          <w:rFonts w:ascii="Gambria" w:hAnsi="Gambria" w:cs="Arial"/>
          <w:sz w:val="22"/>
          <w:szCs w:val="22"/>
        </w:rPr>
        <w:t>lo n</w:t>
      </w:r>
      <w:r w:rsidRPr="00EE49C9">
        <w:rPr>
          <w:rFonts w:ascii="Gambria" w:hAnsi="Gambria" w:cs="Arial" w:hint="eastAsia"/>
          <w:sz w:val="22"/>
          <w:szCs w:val="22"/>
        </w:rPr>
        <w:t>á</w:t>
      </w:r>
      <w:r w:rsidRPr="00EE49C9">
        <w:rPr>
          <w:rFonts w:ascii="Gambria" w:hAnsi="Gambria" w:cs="Arial"/>
          <w:sz w:val="22"/>
          <w:szCs w:val="22"/>
        </w:rPr>
        <w:t>siln</w:t>
      </w:r>
      <w:r w:rsidRPr="00EE49C9">
        <w:rPr>
          <w:rFonts w:ascii="Gambria" w:hAnsi="Gambria" w:cs="Arial" w:hint="eastAsia"/>
          <w:sz w:val="22"/>
          <w:szCs w:val="22"/>
        </w:rPr>
        <w:t>ý</w:t>
      </w:r>
      <w:r w:rsidRPr="00EE49C9">
        <w:rPr>
          <w:rFonts w:ascii="Gambria" w:hAnsi="Gambria" w:cs="Arial"/>
          <w:sz w:val="22"/>
          <w:szCs w:val="22"/>
        </w:rPr>
        <w:t>m a</w:t>
      </w:r>
      <w:r w:rsidRPr="00EE49C9">
        <w:rPr>
          <w:rFonts w:ascii="Gambria" w:hAnsi="Gambria" w:cs="Arial" w:hint="eastAsia"/>
          <w:sz w:val="22"/>
          <w:szCs w:val="22"/>
        </w:rPr>
        <w:t> </w:t>
      </w:r>
      <w:r w:rsidRPr="00EE49C9">
        <w:rPr>
          <w:rFonts w:ascii="Gambria" w:hAnsi="Gambria" w:cs="Arial"/>
          <w:sz w:val="22"/>
          <w:szCs w:val="22"/>
        </w:rPr>
        <w:t>preuk</w:t>
      </w:r>
      <w:r w:rsidRPr="00EE49C9">
        <w:rPr>
          <w:rFonts w:ascii="Gambria" w:hAnsi="Gambria" w:cs="Arial" w:hint="eastAsia"/>
          <w:sz w:val="22"/>
          <w:szCs w:val="22"/>
        </w:rPr>
        <w:t>á</w:t>
      </w:r>
      <w:r w:rsidRPr="00EE49C9">
        <w:rPr>
          <w:rFonts w:ascii="Gambria" w:hAnsi="Gambria" w:cs="Arial"/>
          <w:sz w:val="22"/>
          <w:szCs w:val="22"/>
        </w:rPr>
        <w:t>zate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m prekonan</w:t>
      </w:r>
      <w:r w:rsidRPr="00EE49C9">
        <w:rPr>
          <w:rFonts w:ascii="Gambria" w:hAnsi="Gambria" w:cs="Arial" w:hint="eastAsia"/>
          <w:sz w:val="22"/>
          <w:szCs w:val="22"/>
        </w:rPr>
        <w:t>í</w:t>
      </w:r>
      <w:r w:rsidRPr="00EE49C9">
        <w:rPr>
          <w:rFonts w:ascii="Gambria" w:hAnsi="Gambria" w:cs="Arial"/>
          <w:sz w:val="22"/>
          <w:szCs w:val="22"/>
        </w:rPr>
        <w:t>m fyzick</w:t>
      </w:r>
      <w:r w:rsidRPr="00EE49C9">
        <w:rPr>
          <w:rFonts w:ascii="Gambria" w:hAnsi="Gambria" w:cs="Arial" w:hint="eastAsia"/>
          <w:sz w:val="22"/>
          <w:szCs w:val="22"/>
        </w:rPr>
        <w:t>ý</w:t>
      </w:r>
      <w:r w:rsidRPr="00EE49C9">
        <w:rPr>
          <w:rFonts w:ascii="Gambria" w:hAnsi="Gambria" w:cs="Arial"/>
          <w:sz w:val="22"/>
          <w:szCs w:val="22"/>
        </w:rPr>
        <w:t>ch prek</w:t>
      </w:r>
      <w:r w:rsidRPr="00EE49C9">
        <w:rPr>
          <w:rFonts w:ascii="Gambria" w:hAnsi="Gambria" w:cs="Arial" w:hint="eastAsia"/>
          <w:sz w:val="22"/>
          <w:szCs w:val="22"/>
        </w:rPr>
        <w:t>áž</w:t>
      </w:r>
      <w:r w:rsidRPr="00EE49C9">
        <w:rPr>
          <w:rFonts w:ascii="Gambria" w:hAnsi="Gambria" w:cs="Arial"/>
          <w:sz w:val="22"/>
          <w:szCs w:val="22"/>
        </w:rPr>
        <w:t>ok alebo opatren</w:t>
      </w:r>
      <w:r w:rsidRPr="00EE49C9">
        <w:rPr>
          <w:rFonts w:ascii="Gambria" w:hAnsi="Gambria" w:cs="Arial" w:hint="eastAsia"/>
          <w:sz w:val="22"/>
          <w:szCs w:val="22"/>
        </w:rPr>
        <w:t>í</w:t>
      </w:r>
      <w:r w:rsidRPr="00EE49C9">
        <w:rPr>
          <w:rFonts w:ascii="Gambria" w:hAnsi="Gambria" w:cs="Arial"/>
          <w:sz w:val="22"/>
          <w:szCs w:val="22"/>
        </w:rPr>
        <w:t xml:space="preserve"> chr</w:t>
      </w:r>
      <w:r w:rsidRPr="00EE49C9">
        <w:rPr>
          <w:rFonts w:ascii="Gambria" w:hAnsi="Gambria" w:cs="Arial" w:hint="eastAsia"/>
          <w:sz w:val="22"/>
          <w:szCs w:val="22"/>
        </w:rPr>
        <w:t>á</w:t>
      </w:r>
      <w:r w:rsidRPr="00EE49C9">
        <w:rPr>
          <w:rFonts w:ascii="Gambria" w:hAnsi="Gambria" w:cs="Arial"/>
          <w:sz w:val="22"/>
          <w:szCs w:val="22"/>
        </w:rPr>
        <w:t>niacich vec pred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ou.</w:t>
      </w:r>
      <w:r w:rsidRPr="00EE49C9">
        <w:rPr>
          <w:rFonts w:ascii="Gambria" w:hAnsi="Gambria"/>
          <w:b/>
          <w:sz w:val="22"/>
          <w:szCs w:val="22"/>
        </w:rPr>
        <w:t xml:space="preserve"> </w:t>
      </w:r>
      <w:r w:rsidRPr="00EE49C9">
        <w:rPr>
          <w:rFonts w:ascii="Gambria" w:hAnsi="Gambria" w:cs="Arial"/>
          <w:sz w:val="22"/>
          <w:szCs w:val="22"/>
        </w:rPr>
        <w:t>Dojedn</w:t>
      </w:r>
      <w:r w:rsidRPr="00EE49C9">
        <w:rPr>
          <w:rFonts w:ascii="Gambria" w:hAnsi="Gambria" w:cs="Arial" w:hint="eastAsia"/>
          <w:sz w:val="22"/>
          <w:szCs w:val="22"/>
        </w:rPr>
        <w:t>á</w:t>
      </w:r>
      <w:r w:rsidRPr="00EE49C9">
        <w:rPr>
          <w:rFonts w:ascii="Gambria" w:hAnsi="Gambria" w:cs="Arial"/>
          <w:sz w:val="22"/>
          <w:szCs w:val="22"/>
        </w:rPr>
        <w:t xml:space="preserve">va sa, </w:t>
      </w:r>
      <w:r w:rsidRPr="00EE49C9">
        <w:rPr>
          <w:rFonts w:ascii="Gambria" w:hAnsi="Gambria" w:cs="Arial" w:hint="eastAsia"/>
          <w:sz w:val="22"/>
          <w:szCs w:val="22"/>
        </w:rPr>
        <w:t>ž</w:t>
      </w:r>
      <w:r w:rsidRPr="00EE49C9">
        <w:rPr>
          <w:rFonts w:ascii="Gambria" w:hAnsi="Gambria" w:cs="Arial"/>
          <w:sz w:val="22"/>
          <w:szCs w:val="22"/>
        </w:rPr>
        <w:t>e poistenie sa vz</w:t>
      </w:r>
      <w:r w:rsidRPr="00EE49C9">
        <w:rPr>
          <w:rFonts w:ascii="Gambria" w:hAnsi="Gambria" w:cs="Arial" w:hint="eastAsia"/>
          <w:sz w:val="22"/>
          <w:szCs w:val="22"/>
        </w:rPr>
        <w:t>ť</w:t>
      </w:r>
      <w:r w:rsidRPr="00EE49C9">
        <w:rPr>
          <w:rFonts w:ascii="Gambria" w:hAnsi="Gambria" w:cs="Arial"/>
          <w:sz w:val="22"/>
          <w:szCs w:val="22"/>
        </w:rPr>
        <w:t>ahuje aj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odcudzen</w:t>
      </w:r>
      <w:r w:rsidRPr="00EE49C9">
        <w:rPr>
          <w:rFonts w:ascii="Gambria" w:hAnsi="Gambria" w:cs="Arial" w:hint="eastAsia"/>
          <w:sz w:val="22"/>
          <w:szCs w:val="22"/>
        </w:rPr>
        <w:t>í</w:t>
      </w:r>
      <w:r w:rsidRPr="00EE49C9">
        <w:rPr>
          <w:rFonts w:ascii="Gambria" w:hAnsi="Gambria" w:cs="Arial"/>
          <w:sz w:val="22"/>
          <w:szCs w:val="22"/>
        </w:rPr>
        <w:t>m pe</w:t>
      </w:r>
      <w:r w:rsidRPr="00EE49C9">
        <w:rPr>
          <w:rFonts w:ascii="Gambria" w:hAnsi="Gambria" w:cs="Arial" w:hint="eastAsia"/>
          <w:sz w:val="22"/>
          <w:szCs w:val="22"/>
        </w:rPr>
        <w:t>ň</w:t>
      </w:r>
      <w:r w:rsidRPr="00EE49C9">
        <w:rPr>
          <w:rFonts w:ascii="Gambria" w:hAnsi="Gambria" w:cs="Arial"/>
          <w:sz w:val="22"/>
          <w:szCs w:val="22"/>
        </w:rPr>
        <w:t>az</w:t>
      </w:r>
      <w:r w:rsidRPr="00EE49C9">
        <w:rPr>
          <w:rFonts w:ascii="Gambria" w:hAnsi="Gambria" w:cs="Arial" w:hint="eastAsia"/>
          <w:sz w:val="22"/>
          <w:szCs w:val="22"/>
        </w:rPr>
        <w:t>í</w:t>
      </w:r>
      <w:r w:rsidRPr="00EE49C9">
        <w:rPr>
          <w:rFonts w:ascii="Gambria" w:hAnsi="Gambria" w:cs="Arial"/>
          <w:sz w:val="22"/>
          <w:szCs w:val="22"/>
        </w:rPr>
        <w:t xml:space="preserve"> a cennost</w:t>
      </w:r>
      <w:r w:rsidRPr="00EE49C9">
        <w:rPr>
          <w:rFonts w:ascii="Gambria" w:hAnsi="Gambria" w:cs="Arial" w:hint="eastAsia"/>
          <w:sz w:val="22"/>
          <w:szCs w:val="22"/>
        </w:rPr>
        <w:t>í</w:t>
      </w:r>
      <w:r w:rsidRPr="00EE49C9">
        <w:rPr>
          <w:rFonts w:ascii="Gambria" w:hAnsi="Gambria" w:cs="Arial"/>
          <w:sz w:val="22"/>
          <w:szCs w:val="22"/>
        </w:rPr>
        <w:t xml:space="preserve"> </w:t>
      </w:r>
      <w:r w:rsidRPr="00EE49C9">
        <w:rPr>
          <w:rFonts w:ascii="Gambria" w:hAnsi="Gambria" w:cs="Arial"/>
          <w:sz w:val="22"/>
          <w:szCs w:val="22"/>
        </w:rPr>
        <w:lastRenderedPageBreak/>
        <w:t xml:space="preserve">zamestnancov do </w:t>
      </w:r>
      <w:proofErr w:type="spellStart"/>
      <w:r w:rsidRPr="00EE49C9">
        <w:rPr>
          <w:rFonts w:ascii="Gambria" w:hAnsi="Gambria" w:cs="Arial"/>
          <w:sz w:val="22"/>
          <w:szCs w:val="22"/>
        </w:rPr>
        <w:t>sublimitu</w:t>
      </w:r>
      <w:proofErr w:type="spellEnd"/>
      <w:r w:rsidRPr="00EE49C9">
        <w:rPr>
          <w:rFonts w:ascii="Gambria" w:hAnsi="Gambria" w:cs="Arial"/>
          <w:sz w:val="22"/>
          <w:szCs w:val="22"/>
        </w:rPr>
        <w:t xml:space="preserve"> </w:t>
      </w:r>
      <w:r w:rsidRPr="00EE49C9">
        <w:rPr>
          <w:rFonts w:ascii="Gambria" w:hAnsi="Gambria" w:cs="Arial"/>
          <w:b/>
          <w:bCs/>
          <w:sz w:val="22"/>
          <w:szCs w:val="22"/>
        </w:rPr>
        <w:t>1.000,- EUR</w:t>
      </w:r>
      <w:r w:rsidRPr="00EE49C9">
        <w:rPr>
          <w:rFonts w:ascii="Gambria" w:hAnsi="Gambria" w:cs="Arial"/>
          <w:sz w:val="22"/>
          <w:szCs w:val="22"/>
        </w:rPr>
        <w:t xml:space="preserve"> pre jednu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ú</w:t>
      </w:r>
      <w:r w:rsidRPr="00EE49C9">
        <w:rPr>
          <w:rFonts w:ascii="Gambria" w:hAnsi="Gambria" w:cs="Arial"/>
          <w:sz w:val="22"/>
          <w:szCs w:val="22"/>
        </w:rPr>
        <w:t xml:space="preserve"> udalos</w:t>
      </w:r>
      <w:r w:rsidRPr="00EE49C9">
        <w:rPr>
          <w:rFonts w:ascii="Gambria" w:hAnsi="Gambria" w:cs="Arial" w:hint="eastAsia"/>
          <w:sz w:val="22"/>
          <w:szCs w:val="22"/>
        </w:rPr>
        <w:t>ť</w:t>
      </w:r>
      <w:r w:rsidRPr="00EE49C9">
        <w:rPr>
          <w:rFonts w:ascii="Gambria" w:hAnsi="Gambria" w:cs="Arial"/>
          <w:sz w:val="22"/>
          <w:szCs w:val="22"/>
        </w:rPr>
        <w:t xml:space="preserve"> a</w:t>
      </w:r>
      <w:r w:rsidRPr="00EE49C9">
        <w:rPr>
          <w:rFonts w:ascii="Gambria" w:hAnsi="Gambria" w:cs="Arial" w:hint="eastAsia"/>
          <w:sz w:val="22"/>
          <w:szCs w:val="22"/>
        </w:rPr>
        <w:t> </w:t>
      </w:r>
      <w:r w:rsidRPr="00EE49C9">
        <w:rPr>
          <w:rFonts w:ascii="Gambria" w:hAnsi="Gambria" w:cs="Arial"/>
          <w:b/>
          <w:bCs/>
          <w:sz w:val="22"/>
          <w:szCs w:val="22"/>
        </w:rPr>
        <w:t>10.000,- EUR</w:t>
      </w:r>
      <w:r w:rsidRPr="00EE49C9">
        <w:rPr>
          <w:rFonts w:ascii="Gambria" w:hAnsi="Gambria" w:cs="Arial"/>
          <w:sz w:val="22"/>
          <w:szCs w:val="22"/>
        </w:rPr>
        <w:t xml:space="preserve"> pre 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ktor</w:t>
      </w:r>
      <w:r w:rsidRPr="00EE49C9">
        <w:rPr>
          <w:rFonts w:ascii="Gambria" w:hAnsi="Gambria" w:cs="Arial" w:hint="eastAsia"/>
          <w:sz w:val="22"/>
          <w:szCs w:val="22"/>
        </w:rPr>
        <w:t>é</w:t>
      </w:r>
      <w:r w:rsidRPr="00EE49C9">
        <w:rPr>
          <w:rFonts w:ascii="Gambria" w:hAnsi="Gambria" w:cs="Arial"/>
          <w:sz w:val="22"/>
          <w:szCs w:val="22"/>
        </w:rPr>
        <w:t xml:space="preserve"> vznikn</w:t>
      </w:r>
      <w:r w:rsidRPr="00EE49C9">
        <w:rPr>
          <w:rFonts w:ascii="Gambria" w:hAnsi="Gambria" w:cs="Arial" w:hint="eastAsia"/>
          <w:sz w:val="22"/>
          <w:szCs w:val="22"/>
        </w:rPr>
        <w:t>ú</w:t>
      </w:r>
      <w:r w:rsidRPr="00EE49C9">
        <w:rPr>
          <w:rFonts w:ascii="Gambria" w:hAnsi="Gambria" w:cs="Arial"/>
          <w:sz w:val="22"/>
          <w:szCs w:val="22"/>
        </w:rPr>
        <w:t xml:space="preserve"> po</w:t>
      </w:r>
      <w:r w:rsidRPr="00EE49C9">
        <w:rPr>
          <w:rFonts w:ascii="Gambria" w:hAnsi="Gambria" w:cs="Arial" w:hint="eastAsia"/>
          <w:sz w:val="22"/>
          <w:szCs w:val="22"/>
        </w:rPr>
        <w:t>č</w:t>
      </w:r>
      <w:r w:rsidRPr="00EE49C9">
        <w:rPr>
          <w:rFonts w:ascii="Gambria" w:hAnsi="Gambria" w:cs="Arial"/>
          <w:sz w:val="22"/>
          <w:szCs w:val="22"/>
        </w:rPr>
        <w:t>as jedn</w:t>
      </w:r>
      <w:r w:rsidRPr="00EE49C9">
        <w:rPr>
          <w:rFonts w:ascii="Gambria" w:hAnsi="Gambria" w:cs="Arial" w:hint="eastAsia"/>
          <w:sz w:val="22"/>
          <w:szCs w:val="22"/>
        </w:rPr>
        <w:t>é</w:t>
      </w:r>
      <w:r w:rsidRPr="00EE49C9">
        <w:rPr>
          <w:rFonts w:ascii="Gambria" w:hAnsi="Gambria" w:cs="Arial"/>
          <w:sz w:val="22"/>
          <w:szCs w:val="22"/>
        </w:rPr>
        <w:t>ho poistn</w:t>
      </w:r>
      <w:r w:rsidRPr="00EE49C9">
        <w:rPr>
          <w:rFonts w:ascii="Gambria" w:hAnsi="Gambria" w:cs="Arial" w:hint="eastAsia"/>
          <w:sz w:val="22"/>
          <w:szCs w:val="22"/>
        </w:rPr>
        <w:t>é</w:t>
      </w:r>
      <w:r w:rsidRPr="00EE49C9">
        <w:rPr>
          <w:rFonts w:ascii="Gambria" w:hAnsi="Gambria" w:cs="Arial"/>
          <w:sz w:val="22"/>
          <w:szCs w:val="22"/>
        </w:rPr>
        <w:t>ho obdobia.</w:t>
      </w:r>
    </w:p>
    <w:p w14:paraId="4D2E6B07"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Calibri"/>
          <w:b/>
          <w:sz w:val="22"/>
          <w:szCs w:val="22"/>
        </w:rPr>
        <w:t>Zodpovednos</w:t>
      </w:r>
      <w:r w:rsidRPr="00EE49C9">
        <w:rPr>
          <w:rFonts w:ascii="Gambria" w:hAnsi="Gambria" w:cs="Calibri" w:hint="eastAsia"/>
          <w:b/>
          <w:sz w:val="22"/>
          <w:szCs w:val="22"/>
        </w:rPr>
        <w:t>ť</w:t>
      </w:r>
      <w:r w:rsidRPr="00EE49C9">
        <w:rPr>
          <w:rFonts w:ascii="Gambria" w:hAnsi="Gambria" w:cs="Calibri"/>
          <w:b/>
          <w:sz w:val="22"/>
          <w:szCs w:val="22"/>
        </w:rPr>
        <w:t xml:space="preserve"> za </w:t>
      </w:r>
      <w:r w:rsidRPr="00EE49C9">
        <w:rPr>
          <w:rFonts w:ascii="Gambria" w:hAnsi="Gambria" w:cs="Calibri" w:hint="eastAsia"/>
          <w:b/>
          <w:sz w:val="22"/>
          <w:szCs w:val="22"/>
        </w:rPr>
        <w:t>š</w:t>
      </w:r>
      <w:r w:rsidRPr="00EE49C9">
        <w:rPr>
          <w:rFonts w:ascii="Gambria" w:hAnsi="Gambria" w:cs="Calibri"/>
          <w:b/>
          <w:sz w:val="22"/>
          <w:szCs w:val="22"/>
        </w:rPr>
        <w:t>kodu sp</w:t>
      </w:r>
      <w:r w:rsidRPr="00EE49C9">
        <w:rPr>
          <w:rFonts w:ascii="Gambria" w:hAnsi="Gambria" w:cs="Calibri" w:hint="eastAsia"/>
          <w:b/>
          <w:sz w:val="22"/>
          <w:szCs w:val="22"/>
        </w:rPr>
        <w:t>ô</w:t>
      </w:r>
      <w:r w:rsidRPr="00EE49C9">
        <w:rPr>
          <w:rFonts w:ascii="Gambria" w:hAnsi="Gambria" w:cs="Calibri"/>
          <w:b/>
          <w:sz w:val="22"/>
          <w:szCs w:val="22"/>
        </w:rPr>
        <w:t>soben</w:t>
      </w:r>
      <w:r w:rsidRPr="00EE49C9">
        <w:rPr>
          <w:rFonts w:ascii="Gambria" w:hAnsi="Gambria" w:cs="Calibri" w:hint="eastAsia"/>
          <w:b/>
          <w:sz w:val="22"/>
          <w:szCs w:val="22"/>
        </w:rPr>
        <w:t>ú</w:t>
      </w:r>
      <w:r w:rsidRPr="00EE49C9">
        <w:rPr>
          <w:rFonts w:ascii="Gambria" w:hAnsi="Gambria" w:cs="Calibri"/>
          <w:b/>
          <w:sz w:val="22"/>
          <w:szCs w:val="22"/>
        </w:rPr>
        <w:t xml:space="preserve"> na veciach ubytovan</w:t>
      </w:r>
      <w:r w:rsidRPr="00EE49C9">
        <w:rPr>
          <w:rFonts w:ascii="Gambria" w:hAnsi="Gambria" w:cs="Calibri" w:hint="eastAsia"/>
          <w:b/>
          <w:sz w:val="22"/>
          <w:szCs w:val="22"/>
        </w:rPr>
        <w:t>ý</w:t>
      </w:r>
      <w:r w:rsidRPr="00EE49C9">
        <w:rPr>
          <w:rFonts w:ascii="Gambria" w:hAnsi="Gambria" w:cs="Calibri"/>
          <w:b/>
          <w:sz w:val="22"/>
          <w:szCs w:val="22"/>
        </w:rPr>
        <w:t>ch os</w:t>
      </w:r>
      <w:r w:rsidRPr="00EE49C9">
        <w:rPr>
          <w:rFonts w:ascii="Gambria" w:hAnsi="Gambria" w:cs="Calibri" w:hint="eastAsia"/>
          <w:b/>
          <w:sz w:val="22"/>
          <w:szCs w:val="22"/>
        </w:rPr>
        <w:t>ô</w:t>
      </w:r>
      <w:r w:rsidRPr="00EE49C9">
        <w:rPr>
          <w:rFonts w:ascii="Gambria" w:hAnsi="Gambria" w:cs="Calibri"/>
          <w:b/>
          <w:sz w:val="22"/>
          <w:szCs w:val="22"/>
        </w:rPr>
        <w:t>b a</w:t>
      </w:r>
      <w:r w:rsidRPr="00EE49C9">
        <w:rPr>
          <w:rFonts w:ascii="Gambria" w:hAnsi="Gambria" w:cs="Calibri" w:hint="eastAsia"/>
          <w:b/>
          <w:sz w:val="22"/>
          <w:szCs w:val="22"/>
        </w:rPr>
        <w:t> </w:t>
      </w:r>
      <w:r w:rsidRPr="00EE49C9">
        <w:rPr>
          <w:rFonts w:ascii="Gambria" w:hAnsi="Gambria" w:cs="Calibri"/>
          <w:b/>
          <w:sz w:val="22"/>
          <w:szCs w:val="22"/>
        </w:rPr>
        <w:t>n</w:t>
      </w:r>
      <w:r w:rsidRPr="00EE49C9">
        <w:rPr>
          <w:rFonts w:ascii="Gambria" w:hAnsi="Gambria" w:cs="Calibri" w:hint="eastAsia"/>
          <w:b/>
          <w:sz w:val="22"/>
          <w:szCs w:val="22"/>
        </w:rPr>
        <w:t>á</w:t>
      </w:r>
      <w:r w:rsidRPr="00EE49C9">
        <w:rPr>
          <w:rFonts w:ascii="Gambria" w:hAnsi="Gambria" w:cs="Calibri"/>
          <w:b/>
          <w:sz w:val="22"/>
          <w:szCs w:val="22"/>
        </w:rPr>
        <w:t>v</w:t>
      </w:r>
      <w:r w:rsidRPr="00EE49C9">
        <w:rPr>
          <w:rFonts w:ascii="Gambria" w:hAnsi="Gambria" w:cs="Calibri" w:hint="eastAsia"/>
          <w:b/>
          <w:sz w:val="22"/>
          <w:szCs w:val="22"/>
        </w:rPr>
        <w:t>š</w:t>
      </w:r>
      <w:r w:rsidRPr="00EE49C9">
        <w:rPr>
          <w:rFonts w:ascii="Gambria" w:hAnsi="Gambria" w:cs="Calibri"/>
          <w:b/>
          <w:sz w:val="22"/>
          <w:szCs w:val="22"/>
        </w:rPr>
        <w:t>tevn</w:t>
      </w:r>
      <w:r w:rsidRPr="00EE49C9">
        <w:rPr>
          <w:rFonts w:ascii="Gambria" w:hAnsi="Gambria" w:cs="Calibri" w:hint="eastAsia"/>
          <w:b/>
          <w:sz w:val="22"/>
          <w:szCs w:val="22"/>
        </w:rPr>
        <w:t>í</w:t>
      </w:r>
      <w:r w:rsidRPr="00EE49C9">
        <w:rPr>
          <w:rFonts w:ascii="Gambria" w:hAnsi="Gambria" w:cs="Calibri"/>
          <w:b/>
          <w:sz w:val="22"/>
          <w:szCs w:val="22"/>
        </w:rPr>
        <w:t>kov</w:t>
      </w:r>
      <w:r w:rsidRPr="00EE49C9">
        <w:rPr>
          <w:rFonts w:ascii="Gambria" w:hAnsi="Gambria"/>
          <w:b/>
          <w:sz w:val="22"/>
          <w:szCs w:val="22"/>
        </w:rPr>
        <w:t xml:space="preserve"> </w:t>
      </w:r>
      <w:r w:rsidRPr="00EE49C9">
        <w:rPr>
          <w:rFonts w:ascii="Gambria" w:hAnsi="Gambria" w:cs="Calibri"/>
          <w:sz w:val="22"/>
          <w:szCs w:val="22"/>
        </w:rPr>
        <w:t>Dojedn</w:t>
      </w:r>
      <w:r w:rsidRPr="00EE49C9">
        <w:rPr>
          <w:rFonts w:ascii="Gambria" w:hAnsi="Gambria" w:cs="Calibri" w:hint="eastAsia"/>
          <w:sz w:val="22"/>
          <w:szCs w:val="22"/>
        </w:rPr>
        <w:t>á</w:t>
      </w:r>
      <w:r w:rsidRPr="00EE49C9">
        <w:rPr>
          <w:rFonts w:ascii="Gambria" w:hAnsi="Gambria" w:cs="Calibri"/>
          <w:sz w:val="22"/>
          <w:szCs w:val="22"/>
        </w:rPr>
        <w:t xml:space="preserve">va sa, </w:t>
      </w:r>
      <w:r w:rsidRPr="00EE49C9">
        <w:rPr>
          <w:rFonts w:ascii="Gambria" w:hAnsi="Gambria" w:cs="Calibri" w:hint="eastAsia"/>
          <w:sz w:val="22"/>
          <w:szCs w:val="22"/>
        </w:rPr>
        <w:t>ž</w:t>
      </w:r>
      <w:r w:rsidRPr="00EE49C9">
        <w:rPr>
          <w:rFonts w:ascii="Gambria" w:hAnsi="Gambria" w:cs="Calibri"/>
          <w:sz w:val="22"/>
          <w:szCs w:val="22"/>
        </w:rPr>
        <w:t>e poistenie sa vz</w:t>
      </w:r>
      <w:r w:rsidRPr="00EE49C9">
        <w:rPr>
          <w:rFonts w:ascii="Gambria" w:hAnsi="Gambria" w:cs="Calibri" w:hint="eastAsia"/>
          <w:sz w:val="22"/>
          <w:szCs w:val="22"/>
        </w:rPr>
        <w:t>ť</w:t>
      </w:r>
      <w:r w:rsidRPr="00EE49C9">
        <w:rPr>
          <w:rFonts w:ascii="Gambria" w:hAnsi="Gambria" w:cs="Calibri"/>
          <w:sz w:val="22"/>
          <w:szCs w:val="22"/>
        </w:rPr>
        <w:t>ahuje na zodpovednos</w:t>
      </w:r>
      <w:r w:rsidRPr="00EE49C9">
        <w:rPr>
          <w:rFonts w:ascii="Gambria" w:hAnsi="Gambria" w:cs="Calibri" w:hint="eastAsia"/>
          <w:sz w:val="22"/>
          <w:szCs w:val="22"/>
        </w:rPr>
        <w:t>ť</w:t>
      </w:r>
      <w:r w:rsidRPr="00EE49C9">
        <w:rPr>
          <w:rFonts w:ascii="Gambria" w:hAnsi="Gambria" w:cs="Calibri"/>
          <w:sz w:val="22"/>
          <w:szCs w:val="22"/>
        </w:rPr>
        <w:t xml:space="preserve"> za </w:t>
      </w:r>
      <w:r w:rsidRPr="00EE49C9">
        <w:rPr>
          <w:rFonts w:ascii="Gambria" w:hAnsi="Gambria" w:cs="Calibri" w:hint="eastAsia"/>
          <w:sz w:val="22"/>
          <w:szCs w:val="22"/>
        </w:rPr>
        <w:t>š</w:t>
      </w:r>
      <w:r w:rsidRPr="00EE49C9">
        <w:rPr>
          <w:rFonts w:ascii="Gambria" w:hAnsi="Gambria" w:cs="Calibri"/>
          <w:sz w:val="22"/>
          <w:szCs w:val="22"/>
        </w:rPr>
        <w:t>kodu vzniknut</w:t>
      </w:r>
      <w:r w:rsidRPr="00EE49C9">
        <w:rPr>
          <w:rFonts w:ascii="Gambria" w:hAnsi="Gambria" w:cs="Calibri" w:hint="eastAsia"/>
          <w:sz w:val="22"/>
          <w:szCs w:val="22"/>
        </w:rPr>
        <w:t>ú</w:t>
      </w:r>
      <w:r w:rsidRPr="00EE49C9">
        <w:rPr>
          <w:rFonts w:ascii="Gambria" w:hAnsi="Gambria" w:cs="Calibri"/>
          <w:sz w:val="22"/>
          <w:szCs w:val="22"/>
        </w:rPr>
        <w:t xml:space="preserve"> na veciach, ktor</w:t>
      </w:r>
      <w:r w:rsidRPr="00EE49C9">
        <w:rPr>
          <w:rFonts w:ascii="Gambria" w:hAnsi="Gambria" w:cs="Calibri" w:hint="eastAsia"/>
          <w:sz w:val="22"/>
          <w:szCs w:val="22"/>
        </w:rPr>
        <w:t>é</w:t>
      </w:r>
      <w:r w:rsidRPr="00EE49C9">
        <w:rPr>
          <w:rFonts w:ascii="Gambria" w:hAnsi="Gambria" w:cs="Calibri"/>
          <w:sz w:val="22"/>
          <w:szCs w:val="22"/>
        </w:rPr>
        <w:t xml:space="preserve"> boli ubytovan</w:t>
      </w:r>
      <w:r w:rsidRPr="00EE49C9">
        <w:rPr>
          <w:rFonts w:ascii="Gambria" w:hAnsi="Gambria" w:cs="Calibri" w:hint="eastAsia"/>
          <w:sz w:val="22"/>
          <w:szCs w:val="22"/>
        </w:rPr>
        <w:t>ý</w:t>
      </w:r>
      <w:r w:rsidRPr="00EE49C9">
        <w:rPr>
          <w:rFonts w:ascii="Gambria" w:hAnsi="Gambria" w:cs="Calibri"/>
          <w:sz w:val="22"/>
          <w:szCs w:val="22"/>
        </w:rPr>
        <w:t>mi osobami vnesen</w:t>
      </w:r>
      <w:r w:rsidRPr="00EE49C9">
        <w:rPr>
          <w:rFonts w:ascii="Gambria" w:hAnsi="Gambria" w:cs="Calibri" w:hint="eastAsia"/>
          <w:sz w:val="22"/>
          <w:szCs w:val="22"/>
        </w:rPr>
        <w:t>é</w:t>
      </w:r>
      <w:r w:rsidRPr="00EE49C9">
        <w:rPr>
          <w:rFonts w:ascii="Gambria" w:hAnsi="Gambria" w:cs="Calibri"/>
          <w:sz w:val="22"/>
          <w:szCs w:val="22"/>
        </w:rPr>
        <w:t xml:space="preserve"> do ubytovacieho zariadenia a</w:t>
      </w:r>
      <w:r w:rsidRPr="00EE49C9">
        <w:rPr>
          <w:rFonts w:ascii="Gambria" w:hAnsi="Gambria" w:cs="Calibri" w:hint="eastAsia"/>
          <w:sz w:val="22"/>
          <w:szCs w:val="22"/>
        </w:rPr>
        <w:t> </w:t>
      </w:r>
      <w:r w:rsidRPr="00EE49C9">
        <w:rPr>
          <w:rFonts w:ascii="Gambria" w:hAnsi="Gambria" w:cs="Calibri"/>
          <w:sz w:val="22"/>
          <w:szCs w:val="22"/>
        </w:rPr>
        <w:t>ak je s prev</w:t>
      </w:r>
      <w:r w:rsidRPr="00EE49C9">
        <w:rPr>
          <w:rFonts w:ascii="Gambria" w:hAnsi="Gambria" w:cs="Calibri" w:hint="eastAsia"/>
          <w:sz w:val="22"/>
          <w:szCs w:val="22"/>
        </w:rPr>
        <w:t>á</w:t>
      </w:r>
      <w:r w:rsidRPr="00EE49C9">
        <w:rPr>
          <w:rFonts w:ascii="Gambria" w:hAnsi="Gambria" w:cs="Calibri"/>
          <w:sz w:val="22"/>
          <w:szCs w:val="22"/>
        </w:rPr>
        <w:t xml:space="preserve">dzkou </w:t>
      </w:r>
      <w:r w:rsidRPr="00EE49C9">
        <w:rPr>
          <w:rFonts w:ascii="Gambria" w:hAnsi="Gambria" w:cs="Calibri" w:hint="eastAsia"/>
          <w:sz w:val="22"/>
          <w:szCs w:val="22"/>
        </w:rPr>
        <w:t>č</w:t>
      </w:r>
      <w:r w:rsidRPr="00EE49C9">
        <w:rPr>
          <w:rFonts w:ascii="Gambria" w:hAnsi="Gambria" w:cs="Calibri"/>
          <w:sz w:val="22"/>
          <w:szCs w:val="22"/>
        </w:rPr>
        <w:t>innosti poisten</w:t>
      </w:r>
      <w:r w:rsidRPr="00EE49C9">
        <w:rPr>
          <w:rFonts w:ascii="Gambria" w:hAnsi="Gambria" w:cs="Calibri" w:hint="eastAsia"/>
          <w:sz w:val="22"/>
          <w:szCs w:val="22"/>
        </w:rPr>
        <w:t>é</w:t>
      </w:r>
      <w:r w:rsidRPr="00EE49C9">
        <w:rPr>
          <w:rFonts w:ascii="Gambria" w:hAnsi="Gambria" w:cs="Calibri"/>
          <w:sz w:val="22"/>
          <w:szCs w:val="22"/>
        </w:rPr>
        <w:t>ho spravidla spojen</w:t>
      </w:r>
      <w:r w:rsidRPr="00EE49C9">
        <w:rPr>
          <w:rFonts w:ascii="Gambria" w:hAnsi="Gambria" w:cs="Calibri" w:hint="eastAsia"/>
          <w:sz w:val="22"/>
          <w:szCs w:val="22"/>
        </w:rPr>
        <w:t>é</w:t>
      </w:r>
      <w:r w:rsidRPr="00EE49C9">
        <w:rPr>
          <w:rFonts w:ascii="Gambria" w:hAnsi="Gambria" w:cs="Calibri"/>
          <w:sz w:val="22"/>
          <w:szCs w:val="22"/>
        </w:rPr>
        <w:t xml:space="preserve"> odkladanie vec</w:t>
      </w:r>
      <w:r w:rsidRPr="00EE49C9">
        <w:rPr>
          <w:rFonts w:ascii="Gambria" w:hAnsi="Gambria" w:cs="Calibri" w:hint="eastAsia"/>
          <w:sz w:val="22"/>
          <w:szCs w:val="22"/>
        </w:rPr>
        <w:t>í</w:t>
      </w:r>
      <w:r w:rsidRPr="00EE49C9">
        <w:rPr>
          <w:rFonts w:ascii="Gambria" w:hAnsi="Gambria" w:cs="Calibri"/>
          <w:sz w:val="22"/>
          <w:szCs w:val="22"/>
        </w:rPr>
        <w:t xml:space="preserve">, aj za </w:t>
      </w:r>
      <w:r w:rsidRPr="00EE49C9">
        <w:rPr>
          <w:rFonts w:ascii="Gambria" w:hAnsi="Gambria" w:cs="Calibri" w:hint="eastAsia"/>
          <w:sz w:val="22"/>
          <w:szCs w:val="22"/>
        </w:rPr>
        <w:t>š</w:t>
      </w:r>
      <w:r w:rsidRPr="00EE49C9">
        <w:rPr>
          <w:rFonts w:ascii="Gambria" w:hAnsi="Gambria" w:cs="Calibri"/>
          <w:sz w:val="22"/>
          <w:szCs w:val="22"/>
        </w:rPr>
        <w:t>kody na veciach odlo</w:t>
      </w:r>
      <w:r w:rsidRPr="00EE49C9">
        <w:rPr>
          <w:rFonts w:ascii="Gambria" w:hAnsi="Gambria" w:cs="Calibri" w:hint="eastAsia"/>
          <w:sz w:val="22"/>
          <w:szCs w:val="22"/>
        </w:rPr>
        <w:t>ž</w:t>
      </w:r>
      <w:r w:rsidRPr="00EE49C9">
        <w:rPr>
          <w:rFonts w:ascii="Gambria" w:hAnsi="Gambria" w:cs="Calibri"/>
          <w:sz w:val="22"/>
          <w:szCs w:val="22"/>
        </w:rPr>
        <w:t>en</w:t>
      </w:r>
      <w:r w:rsidRPr="00EE49C9">
        <w:rPr>
          <w:rFonts w:ascii="Gambria" w:hAnsi="Gambria" w:cs="Calibri" w:hint="eastAsia"/>
          <w:sz w:val="22"/>
          <w:szCs w:val="22"/>
        </w:rPr>
        <w:t>ý</w:t>
      </w:r>
      <w:r w:rsidRPr="00EE49C9">
        <w:rPr>
          <w:rFonts w:ascii="Gambria" w:hAnsi="Gambria" w:cs="Calibri"/>
          <w:sz w:val="22"/>
          <w:szCs w:val="22"/>
        </w:rPr>
        <w:t>ch na mieste na to ur</w:t>
      </w:r>
      <w:r w:rsidRPr="00EE49C9">
        <w:rPr>
          <w:rFonts w:ascii="Gambria" w:hAnsi="Gambria" w:cs="Calibri" w:hint="eastAsia"/>
          <w:sz w:val="22"/>
          <w:szCs w:val="22"/>
        </w:rPr>
        <w:t>č</w:t>
      </w:r>
      <w:r w:rsidRPr="00EE49C9">
        <w:rPr>
          <w:rFonts w:ascii="Gambria" w:hAnsi="Gambria" w:cs="Calibri"/>
          <w:sz w:val="22"/>
          <w:szCs w:val="22"/>
        </w:rPr>
        <w:t>enom alebo na mieste, kde sa obvykle odkladaj</w:t>
      </w:r>
      <w:r w:rsidRPr="00EE49C9">
        <w:rPr>
          <w:rFonts w:ascii="Gambria" w:hAnsi="Gambria" w:cs="Calibri" w:hint="eastAsia"/>
          <w:sz w:val="22"/>
          <w:szCs w:val="22"/>
        </w:rPr>
        <w:t>ú</w:t>
      </w:r>
      <w:r w:rsidRPr="00EE49C9">
        <w:rPr>
          <w:rFonts w:ascii="Gambria" w:hAnsi="Gambria" w:cs="Calibri"/>
          <w:sz w:val="22"/>
          <w:szCs w:val="22"/>
        </w:rPr>
        <w:t>, pokia</w:t>
      </w:r>
      <w:r w:rsidRPr="00EE49C9">
        <w:rPr>
          <w:rFonts w:ascii="Gambria" w:hAnsi="Gambria" w:cs="Calibri" w:hint="eastAsia"/>
          <w:sz w:val="22"/>
          <w:szCs w:val="22"/>
        </w:rPr>
        <w:t>ľ</w:t>
      </w:r>
      <w:r w:rsidRPr="00EE49C9">
        <w:rPr>
          <w:rFonts w:ascii="Gambria" w:hAnsi="Gambria" w:cs="Calibri"/>
          <w:sz w:val="22"/>
          <w:szCs w:val="22"/>
        </w:rPr>
        <w:t xml:space="preserve"> poisten</w:t>
      </w:r>
      <w:r w:rsidRPr="00EE49C9">
        <w:rPr>
          <w:rFonts w:ascii="Gambria" w:hAnsi="Gambria" w:cs="Calibri" w:hint="eastAsia"/>
          <w:sz w:val="22"/>
          <w:szCs w:val="22"/>
        </w:rPr>
        <w:t>ý</w:t>
      </w:r>
      <w:r w:rsidRPr="00EE49C9">
        <w:rPr>
          <w:rFonts w:ascii="Gambria" w:hAnsi="Gambria" w:cs="Calibri"/>
          <w:sz w:val="22"/>
          <w:szCs w:val="22"/>
        </w:rPr>
        <w:t xml:space="preserve"> za tak</w:t>
      </w:r>
      <w:r w:rsidRPr="00EE49C9">
        <w:rPr>
          <w:rFonts w:ascii="Gambria" w:hAnsi="Gambria" w:cs="Calibri" w:hint="eastAsia"/>
          <w:sz w:val="22"/>
          <w:szCs w:val="22"/>
        </w:rPr>
        <w:t>ú</w:t>
      </w:r>
      <w:r w:rsidRPr="00EE49C9">
        <w:rPr>
          <w:rFonts w:ascii="Gambria" w:hAnsi="Gambria" w:cs="Calibri"/>
          <w:sz w:val="22"/>
          <w:szCs w:val="22"/>
        </w:rPr>
        <w:t xml:space="preserve">to </w:t>
      </w:r>
      <w:r w:rsidRPr="00EE49C9">
        <w:rPr>
          <w:rFonts w:ascii="Gambria" w:hAnsi="Gambria" w:cs="Calibri" w:hint="eastAsia"/>
          <w:sz w:val="22"/>
          <w:szCs w:val="22"/>
        </w:rPr>
        <w:t>š</w:t>
      </w:r>
      <w:r w:rsidRPr="00EE49C9">
        <w:rPr>
          <w:rFonts w:ascii="Gambria" w:hAnsi="Gambria" w:cs="Calibri"/>
          <w:sz w:val="22"/>
          <w:szCs w:val="22"/>
        </w:rPr>
        <w:t>kodu zodpoved</w:t>
      </w:r>
      <w:r w:rsidRPr="00EE49C9">
        <w:rPr>
          <w:rFonts w:ascii="Gambria" w:hAnsi="Gambria" w:cs="Calibri" w:hint="eastAsia"/>
          <w:sz w:val="22"/>
          <w:szCs w:val="22"/>
        </w:rPr>
        <w:t>á</w:t>
      </w:r>
      <w:r w:rsidRPr="00EE49C9">
        <w:rPr>
          <w:rFonts w:ascii="Gambria" w:hAnsi="Gambria" w:cs="Calibri"/>
          <w:sz w:val="22"/>
          <w:szCs w:val="22"/>
        </w:rPr>
        <w:t xml:space="preserve"> pod</w:t>
      </w:r>
      <w:r w:rsidRPr="00EE49C9">
        <w:rPr>
          <w:rFonts w:ascii="Gambria" w:hAnsi="Gambria" w:cs="Calibri" w:hint="eastAsia"/>
          <w:sz w:val="22"/>
          <w:szCs w:val="22"/>
        </w:rPr>
        <w:t>ľ</w:t>
      </w:r>
      <w:r w:rsidRPr="00EE49C9">
        <w:rPr>
          <w:rFonts w:ascii="Gambria" w:hAnsi="Gambria" w:cs="Calibri"/>
          <w:sz w:val="22"/>
          <w:szCs w:val="22"/>
        </w:rPr>
        <w:t>a pr</w:t>
      </w:r>
      <w:r w:rsidRPr="00EE49C9">
        <w:rPr>
          <w:rFonts w:ascii="Gambria" w:hAnsi="Gambria" w:cs="Calibri" w:hint="eastAsia"/>
          <w:sz w:val="22"/>
          <w:szCs w:val="22"/>
        </w:rPr>
        <w:t>í</w:t>
      </w:r>
      <w:r w:rsidRPr="00EE49C9">
        <w:rPr>
          <w:rFonts w:ascii="Gambria" w:hAnsi="Gambria" w:cs="Calibri"/>
          <w:sz w:val="22"/>
          <w:szCs w:val="22"/>
        </w:rPr>
        <w:t>slu</w:t>
      </w:r>
      <w:r w:rsidRPr="00EE49C9">
        <w:rPr>
          <w:rFonts w:ascii="Gambria" w:hAnsi="Gambria" w:cs="Calibri" w:hint="eastAsia"/>
          <w:sz w:val="22"/>
          <w:szCs w:val="22"/>
        </w:rPr>
        <w:t>š</w:t>
      </w:r>
      <w:r w:rsidRPr="00EE49C9">
        <w:rPr>
          <w:rFonts w:ascii="Gambria" w:hAnsi="Gambria" w:cs="Calibri"/>
          <w:sz w:val="22"/>
          <w:szCs w:val="22"/>
        </w:rPr>
        <w:t>n</w:t>
      </w:r>
      <w:r w:rsidRPr="00EE49C9">
        <w:rPr>
          <w:rFonts w:ascii="Gambria" w:hAnsi="Gambria" w:cs="Calibri" w:hint="eastAsia"/>
          <w:sz w:val="22"/>
          <w:szCs w:val="22"/>
        </w:rPr>
        <w:t>ý</w:t>
      </w:r>
      <w:r w:rsidRPr="00EE49C9">
        <w:rPr>
          <w:rFonts w:ascii="Gambria" w:hAnsi="Gambria" w:cs="Calibri"/>
          <w:sz w:val="22"/>
          <w:szCs w:val="22"/>
        </w:rPr>
        <w:t>ch pr</w:t>
      </w:r>
      <w:r w:rsidRPr="00EE49C9">
        <w:rPr>
          <w:rFonts w:ascii="Gambria" w:hAnsi="Gambria" w:cs="Calibri" w:hint="eastAsia"/>
          <w:sz w:val="22"/>
          <w:szCs w:val="22"/>
        </w:rPr>
        <w:t>á</w:t>
      </w:r>
      <w:r w:rsidRPr="00EE49C9">
        <w:rPr>
          <w:rFonts w:ascii="Gambria" w:hAnsi="Gambria" w:cs="Calibri"/>
          <w:sz w:val="22"/>
          <w:szCs w:val="22"/>
        </w:rPr>
        <w:t>vnych predpisov.</w:t>
      </w:r>
      <w:r w:rsidRPr="00EE49C9">
        <w:rPr>
          <w:rFonts w:ascii="Gambria" w:hAnsi="Gambria"/>
          <w:b/>
          <w:sz w:val="22"/>
          <w:szCs w:val="22"/>
        </w:rPr>
        <w:t xml:space="preserve"> </w:t>
      </w:r>
      <w:r w:rsidRPr="00EE49C9">
        <w:rPr>
          <w:rFonts w:ascii="Gambria" w:hAnsi="Gambria" w:cs="Calibri"/>
          <w:sz w:val="22"/>
          <w:szCs w:val="22"/>
        </w:rPr>
        <w:t>Dojedn</w:t>
      </w:r>
      <w:r w:rsidRPr="00EE49C9">
        <w:rPr>
          <w:rFonts w:ascii="Gambria" w:hAnsi="Gambria" w:cs="Calibri" w:hint="eastAsia"/>
          <w:sz w:val="22"/>
          <w:szCs w:val="22"/>
        </w:rPr>
        <w:t>á</w:t>
      </w:r>
      <w:r w:rsidRPr="00EE49C9">
        <w:rPr>
          <w:rFonts w:ascii="Gambria" w:hAnsi="Gambria" w:cs="Calibri"/>
          <w:sz w:val="22"/>
          <w:szCs w:val="22"/>
        </w:rPr>
        <w:t xml:space="preserve">va sa, </w:t>
      </w:r>
      <w:r w:rsidRPr="00EE49C9">
        <w:rPr>
          <w:rFonts w:ascii="Gambria" w:hAnsi="Gambria" w:cs="Calibri" w:hint="eastAsia"/>
          <w:sz w:val="22"/>
          <w:szCs w:val="22"/>
        </w:rPr>
        <w:t>ž</w:t>
      </w:r>
      <w:r w:rsidRPr="00EE49C9">
        <w:rPr>
          <w:rFonts w:ascii="Gambria" w:hAnsi="Gambria" w:cs="Calibri"/>
          <w:sz w:val="22"/>
          <w:szCs w:val="22"/>
        </w:rPr>
        <w:t>e poistenie sa vz</w:t>
      </w:r>
      <w:r w:rsidRPr="00EE49C9">
        <w:rPr>
          <w:rFonts w:ascii="Gambria" w:hAnsi="Gambria" w:cs="Calibri" w:hint="eastAsia"/>
          <w:sz w:val="22"/>
          <w:szCs w:val="22"/>
        </w:rPr>
        <w:t>ť</w:t>
      </w:r>
      <w:r w:rsidRPr="00EE49C9">
        <w:rPr>
          <w:rFonts w:ascii="Gambria" w:hAnsi="Gambria" w:cs="Calibri"/>
          <w:sz w:val="22"/>
          <w:szCs w:val="22"/>
        </w:rPr>
        <w:t>ahuje aj na zodpovednos</w:t>
      </w:r>
      <w:r w:rsidRPr="00EE49C9">
        <w:rPr>
          <w:rFonts w:ascii="Gambria" w:hAnsi="Gambria" w:cs="Calibri" w:hint="eastAsia"/>
          <w:sz w:val="22"/>
          <w:szCs w:val="22"/>
        </w:rPr>
        <w:t>ť</w:t>
      </w:r>
      <w:r w:rsidRPr="00EE49C9">
        <w:rPr>
          <w:rFonts w:ascii="Gambria" w:hAnsi="Gambria" w:cs="Calibri"/>
          <w:sz w:val="22"/>
          <w:szCs w:val="22"/>
        </w:rPr>
        <w:t xml:space="preserve"> za </w:t>
      </w:r>
      <w:r w:rsidRPr="00EE49C9">
        <w:rPr>
          <w:rFonts w:ascii="Gambria" w:hAnsi="Gambria" w:cs="Calibri" w:hint="eastAsia"/>
          <w:sz w:val="22"/>
          <w:szCs w:val="22"/>
        </w:rPr>
        <w:t>š</w:t>
      </w:r>
      <w:r w:rsidRPr="00EE49C9">
        <w:rPr>
          <w:rFonts w:ascii="Gambria" w:hAnsi="Gambria" w:cs="Calibri"/>
          <w:sz w:val="22"/>
          <w:szCs w:val="22"/>
        </w:rPr>
        <w:t>kodu sp</w:t>
      </w:r>
      <w:r w:rsidRPr="00EE49C9">
        <w:rPr>
          <w:rFonts w:ascii="Gambria" w:hAnsi="Gambria" w:cs="Calibri" w:hint="eastAsia"/>
          <w:sz w:val="22"/>
          <w:szCs w:val="22"/>
        </w:rPr>
        <w:t>ô</w:t>
      </w:r>
      <w:r w:rsidRPr="00EE49C9">
        <w:rPr>
          <w:rFonts w:ascii="Gambria" w:hAnsi="Gambria" w:cs="Calibri"/>
          <w:sz w:val="22"/>
          <w:szCs w:val="22"/>
        </w:rPr>
        <w:t>soben</w:t>
      </w:r>
      <w:r w:rsidRPr="00EE49C9">
        <w:rPr>
          <w:rFonts w:ascii="Gambria" w:hAnsi="Gambria" w:cs="Calibri" w:hint="eastAsia"/>
          <w:sz w:val="22"/>
          <w:szCs w:val="22"/>
        </w:rPr>
        <w:t>ú</w:t>
      </w:r>
      <w:r w:rsidRPr="00EE49C9">
        <w:rPr>
          <w:rFonts w:ascii="Gambria" w:hAnsi="Gambria" w:cs="Calibri"/>
          <w:sz w:val="22"/>
          <w:szCs w:val="22"/>
        </w:rPr>
        <w:t xml:space="preserve"> odcudzen</w:t>
      </w:r>
      <w:r w:rsidRPr="00EE49C9">
        <w:rPr>
          <w:rFonts w:ascii="Gambria" w:hAnsi="Gambria" w:cs="Calibri" w:hint="eastAsia"/>
          <w:sz w:val="22"/>
          <w:szCs w:val="22"/>
        </w:rPr>
        <w:t>í</w:t>
      </w:r>
      <w:r w:rsidRPr="00EE49C9">
        <w:rPr>
          <w:rFonts w:ascii="Gambria" w:hAnsi="Gambria" w:cs="Calibri"/>
          <w:sz w:val="22"/>
          <w:szCs w:val="22"/>
        </w:rPr>
        <w:t>m pe</w:t>
      </w:r>
      <w:r w:rsidRPr="00EE49C9">
        <w:rPr>
          <w:rFonts w:ascii="Gambria" w:hAnsi="Gambria" w:cs="Calibri" w:hint="eastAsia"/>
          <w:sz w:val="22"/>
          <w:szCs w:val="22"/>
        </w:rPr>
        <w:t>ň</w:t>
      </w:r>
      <w:r w:rsidRPr="00EE49C9">
        <w:rPr>
          <w:rFonts w:ascii="Gambria" w:hAnsi="Gambria" w:cs="Calibri"/>
          <w:sz w:val="22"/>
          <w:szCs w:val="22"/>
        </w:rPr>
        <w:t>az</w:t>
      </w:r>
      <w:r w:rsidRPr="00EE49C9">
        <w:rPr>
          <w:rFonts w:ascii="Gambria" w:hAnsi="Gambria" w:cs="Calibri" w:hint="eastAsia"/>
          <w:sz w:val="22"/>
          <w:szCs w:val="22"/>
        </w:rPr>
        <w:t>í</w:t>
      </w:r>
      <w:r w:rsidRPr="00EE49C9">
        <w:rPr>
          <w:rFonts w:ascii="Gambria" w:hAnsi="Gambria" w:cs="Calibri"/>
          <w:sz w:val="22"/>
          <w:szCs w:val="22"/>
        </w:rPr>
        <w:t xml:space="preserve"> a cennost</w:t>
      </w:r>
      <w:r w:rsidRPr="00EE49C9">
        <w:rPr>
          <w:rFonts w:ascii="Gambria" w:hAnsi="Gambria" w:cs="Calibri" w:hint="eastAsia"/>
          <w:sz w:val="22"/>
          <w:szCs w:val="22"/>
        </w:rPr>
        <w:t>í</w:t>
      </w:r>
      <w:r w:rsidRPr="00EE49C9">
        <w:rPr>
          <w:rFonts w:ascii="Gambria" w:hAnsi="Gambria" w:cs="Calibri"/>
          <w:sz w:val="22"/>
          <w:szCs w:val="22"/>
        </w:rPr>
        <w:t xml:space="preserve"> ubytovan</w:t>
      </w:r>
      <w:r w:rsidRPr="00EE49C9">
        <w:rPr>
          <w:rFonts w:ascii="Gambria" w:hAnsi="Gambria" w:cs="Calibri" w:hint="eastAsia"/>
          <w:sz w:val="22"/>
          <w:szCs w:val="22"/>
        </w:rPr>
        <w:t>ý</w:t>
      </w:r>
      <w:r w:rsidRPr="00EE49C9">
        <w:rPr>
          <w:rFonts w:ascii="Gambria" w:hAnsi="Gambria" w:cs="Calibri"/>
          <w:sz w:val="22"/>
          <w:szCs w:val="22"/>
        </w:rPr>
        <w:t>ch os</w:t>
      </w:r>
      <w:r w:rsidRPr="00EE49C9">
        <w:rPr>
          <w:rFonts w:ascii="Gambria" w:hAnsi="Gambria" w:cs="Calibri" w:hint="eastAsia"/>
          <w:sz w:val="22"/>
          <w:szCs w:val="22"/>
        </w:rPr>
        <w:t>ô</w:t>
      </w:r>
      <w:r w:rsidRPr="00EE49C9">
        <w:rPr>
          <w:rFonts w:ascii="Gambria" w:hAnsi="Gambria" w:cs="Calibri"/>
          <w:sz w:val="22"/>
          <w:szCs w:val="22"/>
        </w:rPr>
        <w:t>b a n</w:t>
      </w:r>
      <w:r w:rsidRPr="00EE49C9">
        <w:rPr>
          <w:rFonts w:ascii="Gambria" w:hAnsi="Gambria" w:cs="Calibri" w:hint="eastAsia"/>
          <w:sz w:val="22"/>
          <w:szCs w:val="22"/>
        </w:rPr>
        <w:t>á</w:t>
      </w:r>
      <w:r w:rsidRPr="00EE49C9">
        <w:rPr>
          <w:rFonts w:ascii="Gambria" w:hAnsi="Gambria" w:cs="Calibri"/>
          <w:sz w:val="22"/>
          <w:szCs w:val="22"/>
        </w:rPr>
        <w:t>v</w:t>
      </w:r>
      <w:r w:rsidRPr="00EE49C9">
        <w:rPr>
          <w:rFonts w:ascii="Gambria" w:hAnsi="Gambria" w:cs="Calibri" w:hint="eastAsia"/>
          <w:sz w:val="22"/>
          <w:szCs w:val="22"/>
        </w:rPr>
        <w:t>š</w:t>
      </w:r>
      <w:r w:rsidRPr="00EE49C9">
        <w:rPr>
          <w:rFonts w:ascii="Gambria" w:hAnsi="Gambria" w:cs="Calibri"/>
          <w:sz w:val="22"/>
          <w:szCs w:val="22"/>
        </w:rPr>
        <w:t>tevn</w:t>
      </w:r>
      <w:r w:rsidRPr="00EE49C9">
        <w:rPr>
          <w:rFonts w:ascii="Gambria" w:hAnsi="Gambria" w:cs="Calibri" w:hint="eastAsia"/>
          <w:sz w:val="22"/>
          <w:szCs w:val="22"/>
        </w:rPr>
        <w:t>í</w:t>
      </w:r>
      <w:r w:rsidRPr="00EE49C9">
        <w:rPr>
          <w:rFonts w:ascii="Gambria" w:hAnsi="Gambria" w:cs="Calibri"/>
          <w:sz w:val="22"/>
          <w:szCs w:val="22"/>
        </w:rPr>
        <w:t xml:space="preserve">kov do </w:t>
      </w:r>
      <w:proofErr w:type="spellStart"/>
      <w:r w:rsidRPr="00EE49C9">
        <w:rPr>
          <w:rFonts w:ascii="Gambria" w:hAnsi="Gambria" w:cs="Calibri"/>
          <w:sz w:val="22"/>
          <w:szCs w:val="22"/>
        </w:rPr>
        <w:t>sublimitu</w:t>
      </w:r>
      <w:proofErr w:type="spellEnd"/>
      <w:r w:rsidRPr="00EE49C9">
        <w:rPr>
          <w:rFonts w:ascii="Gambria" w:hAnsi="Gambria" w:cs="Calibri"/>
          <w:sz w:val="22"/>
          <w:szCs w:val="22"/>
        </w:rPr>
        <w:t xml:space="preserve"> </w:t>
      </w:r>
      <w:r w:rsidRPr="00EE49C9">
        <w:rPr>
          <w:rFonts w:ascii="Gambria" w:hAnsi="Gambria" w:cs="Calibri"/>
          <w:b/>
          <w:sz w:val="22"/>
          <w:szCs w:val="22"/>
        </w:rPr>
        <w:t>10.000,- EUR</w:t>
      </w:r>
      <w:r w:rsidRPr="00EE49C9">
        <w:rPr>
          <w:rFonts w:ascii="Gambria" w:hAnsi="Gambria" w:cs="Calibri"/>
          <w:sz w:val="22"/>
          <w:szCs w:val="22"/>
        </w:rPr>
        <w:t xml:space="preserve"> pre jednu a</w:t>
      </w:r>
      <w:r w:rsidRPr="00EE49C9">
        <w:rPr>
          <w:rFonts w:ascii="Gambria" w:hAnsi="Gambria" w:cs="Calibri" w:hint="eastAsia"/>
          <w:sz w:val="22"/>
          <w:szCs w:val="22"/>
        </w:rPr>
        <w:t> </w:t>
      </w:r>
      <w:r w:rsidRPr="00EE49C9">
        <w:rPr>
          <w:rFonts w:ascii="Gambria" w:hAnsi="Gambria" w:cs="Calibri"/>
          <w:sz w:val="22"/>
          <w:szCs w:val="22"/>
        </w:rPr>
        <w:t>v</w:t>
      </w:r>
      <w:r w:rsidRPr="00EE49C9">
        <w:rPr>
          <w:rFonts w:ascii="Gambria" w:hAnsi="Gambria" w:cs="Calibri" w:hint="eastAsia"/>
          <w:sz w:val="22"/>
          <w:szCs w:val="22"/>
        </w:rPr>
        <w:t>š</w:t>
      </w:r>
      <w:r w:rsidRPr="00EE49C9">
        <w:rPr>
          <w:rFonts w:ascii="Gambria" w:hAnsi="Gambria" w:cs="Calibri"/>
          <w:sz w:val="22"/>
          <w:szCs w:val="22"/>
        </w:rPr>
        <w:t xml:space="preserve">etky </w:t>
      </w:r>
      <w:r w:rsidRPr="00EE49C9">
        <w:rPr>
          <w:rFonts w:ascii="Gambria" w:hAnsi="Gambria" w:cs="Calibri" w:hint="eastAsia"/>
          <w:sz w:val="22"/>
          <w:szCs w:val="22"/>
        </w:rPr>
        <w:t>š</w:t>
      </w:r>
      <w:r w:rsidRPr="00EE49C9">
        <w:rPr>
          <w:rFonts w:ascii="Gambria" w:hAnsi="Gambria" w:cs="Calibri"/>
          <w:sz w:val="22"/>
          <w:szCs w:val="22"/>
        </w:rPr>
        <w:t>kodov</w:t>
      </w:r>
      <w:r w:rsidRPr="00EE49C9">
        <w:rPr>
          <w:rFonts w:ascii="Gambria" w:hAnsi="Gambria" w:cs="Calibri" w:hint="eastAsia"/>
          <w:sz w:val="22"/>
          <w:szCs w:val="22"/>
        </w:rPr>
        <w:t>é</w:t>
      </w:r>
      <w:r w:rsidRPr="00EE49C9">
        <w:rPr>
          <w:rFonts w:ascii="Gambria" w:hAnsi="Gambria" w:cs="Calibri"/>
          <w:sz w:val="22"/>
          <w:szCs w:val="22"/>
        </w:rPr>
        <w:t xml:space="preserve"> udalosti, ktor</w:t>
      </w:r>
      <w:r w:rsidRPr="00EE49C9">
        <w:rPr>
          <w:rFonts w:ascii="Gambria" w:hAnsi="Gambria" w:cs="Calibri" w:hint="eastAsia"/>
          <w:sz w:val="22"/>
          <w:szCs w:val="22"/>
        </w:rPr>
        <w:t>é</w:t>
      </w:r>
      <w:r w:rsidRPr="00EE49C9">
        <w:rPr>
          <w:rFonts w:ascii="Gambria" w:hAnsi="Gambria" w:cs="Calibri"/>
          <w:sz w:val="22"/>
          <w:szCs w:val="22"/>
        </w:rPr>
        <w:t xml:space="preserve"> vznikn</w:t>
      </w:r>
      <w:r w:rsidRPr="00EE49C9">
        <w:rPr>
          <w:rFonts w:ascii="Gambria" w:hAnsi="Gambria" w:cs="Calibri" w:hint="eastAsia"/>
          <w:sz w:val="22"/>
          <w:szCs w:val="22"/>
        </w:rPr>
        <w:t>ú</w:t>
      </w:r>
      <w:r w:rsidRPr="00EE49C9">
        <w:rPr>
          <w:rFonts w:ascii="Gambria" w:hAnsi="Gambria" w:cs="Calibri"/>
          <w:sz w:val="22"/>
          <w:szCs w:val="22"/>
        </w:rPr>
        <w:t xml:space="preserve"> po</w:t>
      </w:r>
      <w:r w:rsidRPr="00EE49C9">
        <w:rPr>
          <w:rFonts w:ascii="Gambria" w:hAnsi="Gambria" w:cs="Calibri" w:hint="eastAsia"/>
          <w:sz w:val="22"/>
          <w:szCs w:val="22"/>
        </w:rPr>
        <w:t>č</w:t>
      </w:r>
      <w:r w:rsidRPr="00EE49C9">
        <w:rPr>
          <w:rFonts w:ascii="Gambria" w:hAnsi="Gambria" w:cs="Calibri"/>
          <w:sz w:val="22"/>
          <w:szCs w:val="22"/>
        </w:rPr>
        <w:t>as jedn</w:t>
      </w:r>
      <w:r w:rsidRPr="00EE49C9">
        <w:rPr>
          <w:rFonts w:ascii="Gambria" w:hAnsi="Gambria" w:cs="Calibri" w:hint="eastAsia"/>
          <w:sz w:val="22"/>
          <w:szCs w:val="22"/>
        </w:rPr>
        <w:t>é</w:t>
      </w:r>
      <w:r w:rsidRPr="00EE49C9">
        <w:rPr>
          <w:rFonts w:ascii="Gambria" w:hAnsi="Gambria" w:cs="Calibri"/>
          <w:sz w:val="22"/>
          <w:szCs w:val="22"/>
        </w:rPr>
        <w:t>ho poistn</w:t>
      </w:r>
      <w:r w:rsidRPr="00EE49C9">
        <w:rPr>
          <w:rFonts w:ascii="Gambria" w:hAnsi="Gambria" w:cs="Calibri" w:hint="eastAsia"/>
          <w:sz w:val="22"/>
          <w:szCs w:val="22"/>
        </w:rPr>
        <w:t>é</w:t>
      </w:r>
      <w:r w:rsidRPr="00EE49C9">
        <w:rPr>
          <w:rFonts w:ascii="Gambria" w:hAnsi="Gambria" w:cs="Calibri"/>
          <w:sz w:val="22"/>
          <w:szCs w:val="22"/>
        </w:rPr>
        <w:t>ho obdobia, pri</w:t>
      </w:r>
      <w:r w:rsidRPr="00EE49C9">
        <w:rPr>
          <w:rFonts w:ascii="Gambria" w:hAnsi="Gambria" w:cs="Calibri" w:hint="eastAsia"/>
          <w:sz w:val="22"/>
          <w:szCs w:val="22"/>
        </w:rPr>
        <w:t>č</w:t>
      </w:r>
      <w:r w:rsidRPr="00EE49C9">
        <w:rPr>
          <w:rFonts w:ascii="Gambria" w:hAnsi="Gambria" w:cs="Calibri"/>
          <w:sz w:val="22"/>
          <w:szCs w:val="22"/>
        </w:rPr>
        <w:t>om maxim</w:t>
      </w:r>
      <w:r w:rsidRPr="00EE49C9">
        <w:rPr>
          <w:rFonts w:ascii="Gambria" w:hAnsi="Gambria" w:cs="Calibri" w:hint="eastAsia"/>
          <w:sz w:val="22"/>
          <w:szCs w:val="22"/>
        </w:rPr>
        <w:t>á</w:t>
      </w:r>
      <w:r w:rsidRPr="00EE49C9">
        <w:rPr>
          <w:rFonts w:ascii="Gambria" w:hAnsi="Gambria" w:cs="Calibri"/>
          <w:sz w:val="22"/>
          <w:szCs w:val="22"/>
        </w:rPr>
        <w:t>lny limit na jednu vec je 1.000,- EUR.</w:t>
      </w:r>
    </w:p>
    <w:p w14:paraId="08CCCB61"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Calibri"/>
          <w:b/>
          <w:bCs/>
          <w:sz w:val="22"/>
          <w:szCs w:val="22"/>
          <w:lang w:eastAsia="cs-CZ"/>
        </w:rPr>
        <w:t>Infek</w:t>
      </w:r>
      <w:r w:rsidRPr="00EE49C9">
        <w:rPr>
          <w:rFonts w:ascii="Gambria" w:hAnsi="Gambria" w:cs="Calibri" w:hint="eastAsia"/>
          <w:b/>
          <w:bCs/>
          <w:sz w:val="22"/>
          <w:szCs w:val="22"/>
          <w:lang w:eastAsia="cs-CZ"/>
        </w:rPr>
        <w:t>č</w:t>
      </w:r>
      <w:r w:rsidRPr="00EE49C9">
        <w:rPr>
          <w:rFonts w:ascii="Gambria" w:hAnsi="Gambria" w:cs="Calibri"/>
          <w:b/>
          <w:bCs/>
          <w:sz w:val="22"/>
          <w:szCs w:val="22"/>
          <w:lang w:eastAsia="cs-CZ"/>
        </w:rPr>
        <w:t>n</w:t>
      </w:r>
      <w:r w:rsidRPr="00EE49C9">
        <w:rPr>
          <w:rFonts w:ascii="Gambria" w:hAnsi="Gambria" w:cs="Calibri" w:hint="eastAsia"/>
          <w:b/>
          <w:bCs/>
          <w:sz w:val="22"/>
          <w:szCs w:val="22"/>
          <w:lang w:eastAsia="cs-CZ"/>
        </w:rPr>
        <w:t>é</w:t>
      </w:r>
      <w:r w:rsidRPr="00EE49C9">
        <w:rPr>
          <w:rFonts w:ascii="Gambria" w:hAnsi="Gambria" w:cs="Calibri"/>
          <w:b/>
          <w:bCs/>
          <w:sz w:val="22"/>
          <w:szCs w:val="22"/>
          <w:lang w:eastAsia="cs-CZ"/>
        </w:rPr>
        <w:t xml:space="preserve"> choroby</w:t>
      </w:r>
      <w:r w:rsidRPr="00EE49C9">
        <w:rPr>
          <w:rFonts w:ascii="Gambria" w:hAnsi="Gambria" w:cs="Calibri"/>
          <w:bCs/>
          <w:sz w:val="22"/>
          <w:szCs w:val="22"/>
          <w:lang w:eastAsia="cs-CZ"/>
        </w:rPr>
        <w:t xml:space="preserve"> Poistenie sa vz</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ahuje aj na zodpovednos</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 xml:space="preserve"> za </w:t>
      </w:r>
      <w:r w:rsidRPr="00EE49C9">
        <w:rPr>
          <w:rFonts w:ascii="Gambria" w:hAnsi="Gambria" w:cs="Calibri" w:hint="eastAsia"/>
          <w:bCs/>
          <w:sz w:val="22"/>
          <w:szCs w:val="22"/>
          <w:lang w:eastAsia="cs-CZ"/>
        </w:rPr>
        <w:t>š</w:t>
      </w:r>
      <w:r w:rsidRPr="00EE49C9">
        <w:rPr>
          <w:rFonts w:ascii="Gambria" w:hAnsi="Gambria" w:cs="Calibri"/>
          <w:bCs/>
          <w:sz w:val="22"/>
          <w:szCs w:val="22"/>
          <w:lang w:eastAsia="cs-CZ"/>
        </w:rPr>
        <w:t>kodu vypl</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vaj</w:t>
      </w:r>
      <w:r w:rsidRPr="00EE49C9">
        <w:rPr>
          <w:rFonts w:ascii="Gambria" w:hAnsi="Gambria" w:cs="Calibri" w:hint="eastAsia"/>
          <w:bCs/>
          <w:sz w:val="22"/>
          <w:szCs w:val="22"/>
          <w:lang w:eastAsia="cs-CZ"/>
        </w:rPr>
        <w:t>ú</w:t>
      </w:r>
      <w:r w:rsidRPr="00EE49C9">
        <w:rPr>
          <w:rFonts w:ascii="Gambria" w:hAnsi="Gambria" w:cs="Calibri"/>
          <w:bCs/>
          <w:sz w:val="22"/>
          <w:szCs w:val="22"/>
          <w:lang w:eastAsia="cs-CZ"/>
        </w:rPr>
        <w:t>cu z</w:t>
      </w:r>
      <w:r w:rsidRPr="00EE49C9">
        <w:rPr>
          <w:rFonts w:ascii="Gambria" w:hAnsi="Gambria" w:cs="Calibri" w:hint="eastAsia"/>
          <w:bCs/>
          <w:sz w:val="22"/>
          <w:szCs w:val="22"/>
          <w:lang w:eastAsia="cs-CZ"/>
        </w:rPr>
        <w:t> </w:t>
      </w:r>
      <w:r w:rsidRPr="00EE49C9">
        <w:rPr>
          <w:rFonts w:ascii="Gambria" w:hAnsi="Gambria" w:cs="Calibri"/>
          <w:bCs/>
          <w:sz w:val="22"/>
          <w:szCs w:val="22"/>
          <w:lang w:eastAsia="cs-CZ"/>
        </w:rPr>
        <w:t>infek</w:t>
      </w:r>
      <w:r w:rsidRPr="00EE49C9">
        <w:rPr>
          <w:rFonts w:ascii="Gambria" w:hAnsi="Gambria" w:cs="Calibri" w:hint="eastAsia"/>
          <w:bCs/>
          <w:sz w:val="22"/>
          <w:szCs w:val="22"/>
          <w:lang w:eastAsia="cs-CZ"/>
        </w:rPr>
        <w:t>č</w:t>
      </w:r>
      <w:r w:rsidRPr="00EE49C9">
        <w:rPr>
          <w:rFonts w:ascii="Gambria" w:hAnsi="Gambria" w:cs="Calibri"/>
          <w:bCs/>
          <w:sz w:val="22"/>
          <w:szCs w:val="22"/>
          <w:lang w:eastAsia="cs-CZ"/>
        </w:rPr>
        <w:t>n</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ch chor</w:t>
      </w:r>
      <w:r w:rsidRPr="00EE49C9">
        <w:rPr>
          <w:rFonts w:ascii="Gambria" w:hAnsi="Gambria" w:cs="Calibri" w:hint="eastAsia"/>
          <w:bCs/>
          <w:sz w:val="22"/>
          <w:szCs w:val="22"/>
          <w:lang w:eastAsia="cs-CZ"/>
        </w:rPr>
        <w:t>ô</w:t>
      </w:r>
      <w:r w:rsidRPr="00EE49C9">
        <w:rPr>
          <w:rFonts w:ascii="Gambria" w:hAnsi="Gambria" w:cs="Calibri"/>
          <w:bCs/>
          <w:sz w:val="22"/>
          <w:szCs w:val="22"/>
          <w:lang w:eastAsia="cs-CZ"/>
        </w:rPr>
        <w:t>b.</w:t>
      </w:r>
      <w:r w:rsidRPr="00EE49C9">
        <w:rPr>
          <w:rFonts w:ascii="Gambria" w:hAnsi="Gambria"/>
          <w:sz w:val="22"/>
          <w:szCs w:val="22"/>
        </w:rPr>
        <w:t xml:space="preserve"> </w:t>
      </w:r>
    </w:p>
    <w:p w14:paraId="33A307EE"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Calibri"/>
          <w:b/>
          <w:sz w:val="22"/>
          <w:szCs w:val="22"/>
          <w:lang w:eastAsia="cs-CZ"/>
        </w:rPr>
        <w:t>Organiz</w:t>
      </w:r>
      <w:r w:rsidRPr="00EE49C9">
        <w:rPr>
          <w:rFonts w:ascii="Gambria" w:hAnsi="Gambria" w:cs="Calibri" w:hint="eastAsia"/>
          <w:b/>
          <w:sz w:val="22"/>
          <w:szCs w:val="22"/>
          <w:lang w:eastAsia="cs-CZ"/>
        </w:rPr>
        <w:t>á</w:t>
      </w:r>
      <w:r w:rsidRPr="00EE49C9">
        <w:rPr>
          <w:rFonts w:ascii="Gambria" w:hAnsi="Gambria" w:cs="Calibri"/>
          <w:b/>
          <w:sz w:val="22"/>
          <w:szCs w:val="22"/>
          <w:lang w:eastAsia="cs-CZ"/>
        </w:rPr>
        <w:t>cia kult</w:t>
      </w:r>
      <w:r w:rsidRPr="00EE49C9">
        <w:rPr>
          <w:rFonts w:ascii="Gambria" w:hAnsi="Gambria" w:cs="Calibri" w:hint="eastAsia"/>
          <w:b/>
          <w:sz w:val="22"/>
          <w:szCs w:val="22"/>
          <w:lang w:eastAsia="cs-CZ"/>
        </w:rPr>
        <w:t>ú</w:t>
      </w:r>
      <w:r w:rsidRPr="00EE49C9">
        <w:rPr>
          <w:rFonts w:ascii="Gambria" w:hAnsi="Gambria" w:cs="Calibri"/>
          <w:b/>
          <w:sz w:val="22"/>
          <w:szCs w:val="22"/>
          <w:lang w:eastAsia="cs-CZ"/>
        </w:rPr>
        <w:t>rnych a</w:t>
      </w:r>
      <w:r w:rsidRPr="00EE49C9">
        <w:rPr>
          <w:rFonts w:ascii="Gambria" w:hAnsi="Gambria" w:cs="Calibri" w:hint="eastAsia"/>
          <w:b/>
          <w:sz w:val="22"/>
          <w:szCs w:val="22"/>
          <w:lang w:eastAsia="cs-CZ"/>
        </w:rPr>
        <w:t> </w:t>
      </w:r>
      <w:r w:rsidRPr="00EE49C9">
        <w:rPr>
          <w:rFonts w:ascii="Gambria" w:hAnsi="Gambria" w:cs="Calibri"/>
          <w:b/>
          <w:sz w:val="22"/>
          <w:szCs w:val="22"/>
          <w:lang w:eastAsia="cs-CZ"/>
        </w:rPr>
        <w:t>in</w:t>
      </w:r>
      <w:r w:rsidRPr="00EE49C9">
        <w:rPr>
          <w:rFonts w:ascii="Gambria" w:hAnsi="Gambria" w:cs="Calibri" w:hint="eastAsia"/>
          <w:b/>
          <w:sz w:val="22"/>
          <w:szCs w:val="22"/>
          <w:lang w:eastAsia="cs-CZ"/>
        </w:rPr>
        <w:t>ý</w:t>
      </w:r>
      <w:r w:rsidRPr="00EE49C9">
        <w:rPr>
          <w:rFonts w:ascii="Gambria" w:hAnsi="Gambria" w:cs="Calibri"/>
          <w:b/>
          <w:sz w:val="22"/>
          <w:szCs w:val="22"/>
          <w:lang w:eastAsia="cs-CZ"/>
        </w:rPr>
        <w:t>ch spolo</w:t>
      </w:r>
      <w:r w:rsidRPr="00EE49C9">
        <w:rPr>
          <w:rFonts w:ascii="Gambria" w:hAnsi="Gambria" w:cs="Calibri" w:hint="eastAsia"/>
          <w:b/>
          <w:sz w:val="22"/>
          <w:szCs w:val="22"/>
          <w:lang w:eastAsia="cs-CZ"/>
        </w:rPr>
        <w:t>č</w:t>
      </w:r>
      <w:r w:rsidRPr="00EE49C9">
        <w:rPr>
          <w:rFonts w:ascii="Gambria" w:hAnsi="Gambria" w:cs="Calibri"/>
          <w:b/>
          <w:sz w:val="22"/>
          <w:szCs w:val="22"/>
          <w:lang w:eastAsia="cs-CZ"/>
        </w:rPr>
        <w:t>ensk</w:t>
      </w:r>
      <w:r w:rsidRPr="00EE49C9">
        <w:rPr>
          <w:rFonts w:ascii="Gambria" w:hAnsi="Gambria" w:cs="Calibri" w:hint="eastAsia"/>
          <w:b/>
          <w:sz w:val="22"/>
          <w:szCs w:val="22"/>
          <w:lang w:eastAsia="cs-CZ"/>
        </w:rPr>
        <w:t>ý</w:t>
      </w:r>
      <w:r w:rsidRPr="00EE49C9">
        <w:rPr>
          <w:rFonts w:ascii="Gambria" w:hAnsi="Gambria" w:cs="Calibri"/>
          <w:b/>
          <w:sz w:val="22"/>
          <w:szCs w:val="22"/>
          <w:lang w:eastAsia="cs-CZ"/>
        </w:rPr>
        <w:t>ch podujat</w:t>
      </w:r>
      <w:r w:rsidRPr="00EE49C9">
        <w:rPr>
          <w:rFonts w:ascii="Gambria" w:hAnsi="Gambria" w:cs="Calibri" w:hint="eastAsia"/>
          <w:b/>
          <w:sz w:val="22"/>
          <w:szCs w:val="22"/>
          <w:lang w:eastAsia="cs-CZ"/>
        </w:rPr>
        <w:t>í</w:t>
      </w:r>
      <w:r w:rsidRPr="00EE49C9">
        <w:rPr>
          <w:rFonts w:ascii="Gambria" w:hAnsi="Gambria" w:cs="Calibri"/>
          <w:bCs/>
          <w:sz w:val="22"/>
          <w:szCs w:val="22"/>
          <w:lang w:eastAsia="cs-CZ"/>
        </w:rPr>
        <w:t xml:space="preserve"> Poistenie sa vz</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ahuje aj na zodpovednos</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 xml:space="preserve"> za </w:t>
      </w:r>
      <w:r w:rsidRPr="00EE49C9">
        <w:rPr>
          <w:rFonts w:ascii="Gambria" w:hAnsi="Gambria" w:cs="Calibri" w:hint="eastAsia"/>
          <w:bCs/>
          <w:sz w:val="22"/>
          <w:szCs w:val="22"/>
          <w:lang w:eastAsia="cs-CZ"/>
        </w:rPr>
        <w:t>š</w:t>
      </w:r>
      <w:r w:rsidRPr="00EE49C9">
        <w:rPr>
          <w:rFonts w:ascii="Gambria" w:hAnsi="Gambria" w:cs="Calibri"/>
          <w:bCs/>
          <w:sz w:val="22"/>
          <w:szCs w:val="22"/>
          <w:lang w:eastAsia="cs-CZ"/>
        </w:rPr>
        <w:t>kodu sp</w:t>
      </w:r>
      <w:r w:rsidRPr="00EE49C9">
        <w:rPr>
          <w:rFonts w:ascii="Gambria" w:hAnsi="Gambria" w:cs="Calibri" w:hint="eastAsia"/>
          <w:bCs/>
          <w:sz w:val="22"/>
          <w:szCs w:val="22"/>
          <w:lang w:eastAsia="cs-CZ"/>
        </w:rPr>
        <w:t>ô</w:t>
      </w:r>
      <w:r w:rsidRPr="00EE49C9">
        <w:rPr>
          <w:rFonts w:ascii="Gambria" w:hAnsi="Gambria" w:cs="Calibri"/>
          <w:bCs/>
          <w:sz w:val="22"/>
          <w:szCs w:val="22"/>
          <w:lang w:eastAsia="cs-CZ"/>
        </w:rPr>
        <w:t>soben</w:t>
      </w:r>
      <w:r w:rsidRPr="00EE49C9">
        <w:rPr>
          <w:rFonts w:ascii="Gambria" w:hAnsi="Gambria" w:cs="Calibri" w:hint="eastAsia"/>
          <w:bCs/>
          <w:sz w:val="22"/>
          <w:szCs w:val="22"/>
          <w:lang w:eastAsia="cs-CZ"/>
        </w:rPr>
        <w:t>ú</w:t>
      </w:r>
      <w:r w:rsidRPr="00EE49C9">
        <w:rPr>
          <w:rFonts w:ascii="Gambria" w:hAnsi="Gambria" w:cs="Calibri"/>
          <w:bCs/>
          <w:sz w:val="22"/>
          <w:szCs w:val="22"/>
          <w:lang w:eastAsia="cs-CZ"/>
        </w:rPr>
        <w:t xml:space="preserve"> pri organizovan</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sl</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vnost</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alebo in</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ch kult</w:t>
      </w:r>
      <w:r w:rsidRPr="00EE49C9">
        <w:rPr>
          <w:rFonts w:ascii="Gambria" w:hAnsi="Gambria" w:cs="Calibri" w:hint="eastAsia"/>
          <w:bCs/>
          <w:sz w:val="22"/>
          <w:szCs w:val="22"/>
          <w:lang w:eastAsia="cs-CZ"/>
        </w:rPr>
        <w:t>ú</w:t>
      </w:r>
      <w:r w:rsidRPr="00EE49C9">
        <w:rPr>
          <w:rFonts w:ascii="Gambria" w:hAnsi="Gambria" w:cs="Calibri"/>
          <w:bCs/>
          <w:sz w:val="22"/>
          <w:szCs w:val="22"/>
          <w:lang w:eastAsia="cs-CZ"/>
        </w:rPr>
        <w:t>rno-z</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bavn</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ch akci</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vr</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 xml:space="preserve">tane </w:t>
      </w:r>
      <w:r w:rsidRPr="00EE49C9">
        <w:rPr>
          <w:rFonts w:ascii="Gambria" w:hAnsi="Gambria" w:cs="Calibri" w:hint="eastAsia"/>
          <w:bCs/>
          <w:sz w:val="22"/>
          <w:szCs w:val="22"/>
          <w:lang w:eastAsia="cs-CZ"/>
        </w:rPr>
        <w:t>š</w:t>
      </w:r>
      <w:r w:rsidRPr="00EE49C9">
        <w:rPr>
          <w:rFonts w:ascii="Gambria" w:hAnsi="Gambria" w:cs="Calibri"/>
          <w:bCs/>
          <w:sz w:val="22"/>
          <w:szCs w:val="22"/>
          <w:lang w:eastAsia="cs-CZ"/>
        </w:rPr>
        <w:t>kody na veciach alebo zdrav</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akt</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vnych </w:t>
      </w:r>
      <w:r w:rsidRPr="00EE49C9">
        <w:rPr>
          <w:rFonts w:ascii="Gambria" w:hAnsi="Gambria" w:cs="Calibri" w:hint="eastAsia"/>
          <w:bCs/>
          <w:sz w:val="22"/>
          <w:szCs w:val="22"/>
          <w:lang w:eastAsia="cs-CZ"/>
        </w:rPr>
        <w:t>č</w:t>
      </w:r>
      <w:r w:rsidRPr="00EE49C9">
        <w:rPr>
          <w:rFonts w:ascii="Gambria" w:hAnsi="Gambria" w:cs="Calibri"/>
          <w:bCs/>
          <w:sz w:val="22"/>
          <w:szCs w:val="22"/>
          <w:lang w:eastAsia="cs-CZ"/>
        </w:rPr>
        <w:t xml:space="preserve">lenov </w:t>
      </w:r>
      <w:r w:rsidRPr="00EE49C9">
        <w:rPr>
          <w:rFonts w:ascii="Gambria" w:hAnsi="Gambria" w:cs="Calibri" w:hint="eastAsia"/>
          <w:bCs/>
          <w:sz w:val="22"/>
          <w:szCs w:val="22"/>
          <w:lang w:eastAsia="cs-CZ"/>
        </w:rPr>
        <w:t>úč</w:t>
      </w:r>
      <w:r w:rsidRPr="00EE49C9">
        <w:rPr>
          <w:rFonts w:ascii="Gambria" w:hAnsi="Gambria" w:cs="Calibri"/>
          <w:bCs/>
          <w:sz w:val="22"/>
          <w:szCs w:val="22"/>
          <w:lang w:eastAsia="cs-CZ"/>
        </w:rPr>
        <w:t>astn</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kov organizovan</w:t>
      </w:r>
      <w:r w:rsidRPr="00EE49C9">
        <w:rPr>
          <w:rFonts w:ascii="Gambria" w:hAnsi="Gambria" w:cs="Calibri" w:hint="eastAsia"/>
          <w:bCs/>
          <w:sz w:val="22"/>
          <w:szCs w:val="22"/>
          <w:lang w:eastAsia="cs-CZ"/>
        </w:rPr>
        <w:t>é</w:t>
      </w:r>
      <w:r w:rsidRPr="00EE49C9">
        <w:rPr>
          <w:rFonts w:ascii="Gambria" w:hAnsi="Gambria" w:cs="Calibri"/>
          <w:bCs/>
          <w:sz w:val="22"/>
          <w:szCs w:val="22"/>
          <w:lang w:eastAsia="cs-CZ"/>
        </w:rPr>
        <w:t>ho podujatia.</w:t>
      </w:r>
    </w:p>
    <w:p w14:paraId="1073F813"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n</w:t>
      </w:r>
      <w:r w:rsidRPr="00EE49C9">
        <w:rPr>
          <w:rFonts w:ascii="Gambria" w:hAnsi="Gambria" w:cs="Arial" w:hint="eastAsia"/>
          <w:b/>
          <w:sz w:val="22"/>
          <w:szCs w:val="22"/>
        </w:rPr>
        <w:t>á</w:t>
      </w:r>
      <w:r w:rsidRPr="00EE49C9">
        <w:rPr>
          <w:rFonts w:ascii="Gambria" w:hAnsi="Gambria" w:cs="Arial"/>
          <w:b/>
          <w:sz w:val="22"/>
          <w:szCs w:val="22"/>
        </w:rPr>
        <w:t>kladov v</w:t>
      </w:r>
      <w:r w:rsidRPr="00EE49C9">
        <w:rPr>
          <w:rFonts w:ascii="Gambria" w:hAnsi="Gambria" w:cs="Arial" w:hint="eastAsia"/>
          <w:b/>
          <w:sz w:val="22"/>
          <w:szCs w:val="22"/>
        </w:rPr>
        <w:t> </w:t>
      </w:r>
      <w:r w:rsidRPr="00EE49C9">
        <w:rPr>
          <w:rFonts w:ascii="Gambria" w:hAnsi="Gambria" w:cs="Arial"/>
          <w:b/>
          <w:sz w:val="22"/>
          <w:szCs w:val="22"/>
        </w:rPr>
        <w:t>s</w:t>
      </w:r>
      <w:r w:rsidRPr="00EE49C9">
        <w:rPr>
          <w:rFonts w:ascii="Gambria" w:hAnsi="Gambria" w:cs="Arial" w:hint="eastAsia"/>
          <w:b/>
          <w:sz w:val="22"/>
          <w:szCs w:val="22"/>
        </w:rPr>
        <w:t>ú</w:t>
      </w:r>
      <w:r w:rsidRPr="00EE49C9">
        <w:rPr>
          <w:rFonts w:ascii="Gambria" w:hAnsi="Gambria" w:cs="Arial"/>
          <w:b/>
          <w:sz w:val="22"/>
          <w:szCs w:val="22"/>
        </w:rPr>
        <w:t>vislosti s</w:t>
      </w:r>
      <w:r w:rsidRPr="00EE49C9">
        <w:rPr>
          <w:rFonts w:ascii="Gambria" w:hAnsi="Gambria" w:cs="Arial" w:hint="eastAsia"/>
          <w:b/>
          <w:sz w:val="22"/>
          <w:szCs w:val="22"/>
        </w:rPr>
        <w:t> </w:t>
      </w:r>
      <w:r w:rsidRPr="00EE49C9">
        <w:rPr>
          <w:rFonts w:ascii="Gambria" w:hAnsi="Gambria" w:cs="Arial"/>
          <w:b/>
          <w:sz w:val="22"/>
          <w:szCs w:val="22"/>
        </w:rPr>
        <w:t>poistnou udalos</w:t>
      </w:r>
      <w:r w:rsidRPr="00EE49C9">
        <w:rPr>
          <w:rFonts w:ascii="Gambria" w:hAnsi="Gambria" w:cs="Arial" w:hint="eastAsia"/>
          <w:b/>
          <w:sz w:val="22"/>
          <w:szCs w:val="22"/>
        </w:rPr>
        <w:t>ť</w:t>
      </w:r>
      <w:r w:rsidRPr="00EE49C9">
        <w:rPr>
          <w:rFonts w:ascii="Gambria" w:hAnsi="Gambria" w:cs="Arial"/>
          <w:b/>
          <w:sz w:val="22"/>
          <w:szCs w:val="22"/>
        </w:rPr>
        <w:t>ou</w:t>
      </w:r>
      <w:r w:rsidRPr="00EE49C9">
        <w:rPr>
          <w:rFonts w:ascii="Gambria" w:hAnsi="Gambria"/>
          <w:b/>
          <w:sz w:val="22"/>
          <w:szCs w:val="22"/>
        </w:rPr>
        <w:t xml:space="preserve"> </w:t>
      </w:r>
      <w:r w:rsidRPr="00EE49C9">
        <w:rPr>
          <w:rFonts w:ascii="Gambria" w:hAnsi="Gambria" w:cs="Arial"/>
          <w:sz w:val="22"/>
          <w:szCs w:val="22"/>
        </w:rPr>
        <w:t>Poistite</w:t>
      </w:r>
      <w:r w:rsidRPr="00EE49C9">
        <w:rPr>
          <w:rFonts w:ascii="Gambria" w:hAnsi="Gambria" w:cs="Arial" w:hint="eastAsia"/>
          <w:sz w:val="22"/>
          <w:szCs w:val="22"/>
        </w:rPr>
        <w:t>ľ</w:t>
      </w:r>
      <w:r w:rsidRPr="00EE49C9">
        <w:rPr>
          <w:rFonts w:ascii="Gambria" w:hAnsi="Gambria" w:cs="Arial"/>
          <w:sz w:val="22"/>
          <w:szCs w:val="22"/>
        </w:rPr>
        <w:t xml:space="preserve"> nahrad</w:t>
      </w:r>
      <w:r w:rsidRPr="00EE49C9">
        <w:rPr>
          <w:rFonts w:ascii="Gambria" w:hAnsi="Gambria" w:cs="Arial" w:hint="eastAsia"/>
          <w:sz w:val="22"/>
          <w:szCs w:val="22"/>
        </w:rPr>
        <w:t>í</w:t>
      </w:r>
      <w:r w:rsidRPr="00EE49C9">
        <w:rPr>
          <w:rFonts w:ascii="Gambria" w:hAnsi="Gambria" w:cs="Arial"/>
          <w:sz w:val="22"/>
          <w:szCs w:val="22"/>
        </w:rPr>
        <w:t xml:space="preserve"> v</w:t>
      </w:r>
      <w:r w:rsidRPr="00EE49C9">
        <w:rPr>
          <w:rFonts w:ascii="Gambria" w:hAnsi="Gambria" w:cs="Arial" w:hint="eastAsia"/>
          <w:sz w:val="22"/>
          <w:szCs w:val="22"/>
        </w:rPr>
        <w:t> </w:t>
      </w:r>
      <w:r w:rsidRPr="00EE49C9">
        <w:rPr>
          <w:rFonts w:ascii="Gambria" w:hAnsi="Gambria" w:cs="Arial"/>
          <w:sz w:val="22"/>
          <w:szCs w:val="22"/>
        </w:rPr>
        <w:t>s</w:t>
      </w:r>
      <w:r w:rsidRPr="00EE49C9">
        <w:rPr>
          <w:rFonts w:ascii="Gambria" w:hAnsi="Gambria" w:cs="Arial" w:hint="eastAsia"/>
          <w:sz w:val="22"/>
          <w:szCs w:val="22"/>
        </w:rPr>
        <w:t>ú</w:t>
      </w:r>
      <w:r w:rsidRPr="00EE49C9">
        <w:rPr>
          <w:rFonts w:ascii="Gambria" w:hAnsi="Gambria" w:cs="Arial"/>
          <w:sz w:val="22"/>
          <w:szCs w:val="22"/>
        </w:rPr>
        <w:t>vislosti s</w:t>
      </w:r>
      <w:r w:rsidRPr="00EE49C9">
        <w:rPr>
          <w:rFonts w:ascii="Gambria" w:hAnsi="Gambria" w:cs="Arial" w:hint="eastAsia"/>
          <w:sz w:val="22"/>
          <w:szCs w:val="22"/>
        </w:rPr>
        <w:t> </w:t>
      </w:r>
      <w:r w:rsidRPr="00EE49C9">
        <w:rPr>
          <w:rFonts w:ascii="Gambria" w:hAnsi="Gambria" w:cs="Arial"/>
          <w:sz w:val="22"/>
          <w:szCs w:val="22"/>
        </w:rPr>
        <w:t>poistnou udalos</w:t>
      </w:r>
      <w:r w:rsidRPr="00EE49C9">
        <w:rPr>
          <w:rFonts w:ascii="Gambria" w:hAnsi="Gambria" w:cs="Arial" w:hint="eastAsia"/>
          <w:sz w:val="22"/>
          <w:szCs w:val="22"/>
        </w:rPr>
        <w:t>ť</w:t>
      </w:r>
      <w:r w:rsidRPr="00EE49C9">
        <w:rPr>
          <w:rFonts w:ascii="Gambria" w:hAnsi="Gambria" w:cs="Arial"/>
          <w:sz w:val="22"/>
          <w:szCs w:val="22"/>
        </w:rPr>
        <w:t>ou, ktor</w:t>
      </w:r>
      <w:r w:rsidRPr="00EE49C9">
        <w:rPr>
          <w:rFonts w:ascii="Gambria" w:hAnsi="Gambria" w:cs="Arial" w:hint="eastAsia"/>
          <w:sz w:val="22"/>
          <w:szCs w:val="22"/>
        </w:rPr>
        <w:t>á</w:t>
      </w:r>
      <w:r w:rsidRPr="00EE49C9">
        <w:rPr>
          <w:rFonts w:ascii="Gambria" w:hAnsi="Gambria" w:cs="Arial"/>
          <w:sz w:val="22"/>
          <w:szCs w:val="22"/>
        </w:rPr>
        <w:t xml:space="preserve"> je d</w:t>
      </w:r>
      <w:r w:rsidRPr="00EE49C9">
        <w:rPr>
          <w:rFonts w:ascii="Gambria" w:hAnsi="Gambria" w:cs="Arial" w:hint="eastAsia"/>
          <w:sz w:val="22"/>
          <w:szCs w:val="22"/>
        </w:rPr>
        <w:t>ô</w:t>
      </w:r>
      <w:r w:rsidRPr="00EE49C9">
        <w:rPr>
          <w:rFonts w:ascii="Gambria" w:hAnsi="Gambria" w:cs="Arial"/>
          <w:sz w:val="22"/>
          <w:szCs w:val="22"/>
        </w:rPr>
        <w:t>vodom vzniku pr</w:t>
      </w:r>
      <w:r w:rsidRPr="00EE49C9">
        <w:rPr>
          <w:rFonts w:ascii="Gambria" w:hAnsi="Gambria" w:cs="Arial" w:hint="eastAsia"/>
          <w:sz w:val="22"/>
          <w:szCs w:val="22"/>
        </w:rPr>
        <w:t>á</w:t>
      </w:r>
      <w:r w:rsidRPr="00EE49C9">
        <w:rPr>
          <w:rFonts w:ascii="Gambria" w:hAnsi="Gambria" w:cs="Arial"/>
          <w:sz w:val="22"/>
          <w:szCs w:val="22"/>
        </w:rPr>
        <w:t>va na plnenie poistite</w:t>
      </w:r>
      <w:r w:rsidRPr="00EE49C9">
        <w:rPr>
          <w:rFonts w:ascii="Gambria" w:hAnsi="Gambria" w:cs="Arial" w:hint="eastAsia"/>
          <w:sz w:val="22"/>
          <w:szCs w:val="22"/>
        </w:rPr>
        <w:t>ľ</w:t>
      </w:r>
      <w:r w:rsidRPr="00EE49C9">
        <w:rPr>
          <w:rFonts w:ascii="Gambria" w:hAnsi="Gambria" w:cs="Arial"/>
          <w:sz w:val="22"/>
          <w:szCs w:val="22"/>
        </w:rPr>
        <w:t>a za poisten</w:t>
      </w:r>
      <w:r w:rsidRPr="00EE49C9">
        <w:rPr>
          <w:rFonts w:ascii="Gambria" w:hAnsi="Gambria" w:cs="Arial" w:hint="eastAsia"/>
          <w:sz w:val="22"/>
          <w:szCs w:val="22"/>
        </w:rPr>
        <w:t>é</w:t>
      </w:r>
      <w:r w:rsidRPr="00EE49C9">
        <w:rPr>
          <w:rFonts w:ascii="Gambria" w:hAnsi="Gambria" w:cs="Arial"/>
          <w:sz w:val="22"/>
          <w:szCs w:val="22"/>
        </w:rPr>
        <w:t>ho v</w:t>
      </w:r>
      <w:r w:rsidRPr="00EE49C9">
        <w:rPr>
          <w:rFonts w:ascii="Gambria" w:hAnsi="Gambria" w:cs="Arial" w:hint="eastAsia"/>
          <w:sz w:val="22"/>
          <w:szCs w:val="22"/>
        </w:rPr>
        <w:t>ý</w:t>
      </w:r>
      <w:r w:rsidRPr="00EE49C9">
        <w:rPr>
          <w:rFonts w:ascii="Gambria" w:hAnsi="Gambria" w:cs="Arial"/>
          <w:sz w:val="22"/>
          <w:szCs w:val="22"/>
        </w:rPr>
        <w:t>davky:</w:t>
      </w:r>
    </w:p>
    <w:p w14:paraId="4C00B6BC"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obhajoby poisten</w:t>
      </w:r>
      <w:r w:rsidRPr="00EE49C9">
        <w:rPr>
          <w:rFonts w:ascii="Gambria" w:hAnsi="Gambria" w:cs="Arial" w:hint="eastAsia"/>
          <w:sz w:val="22"/>
          <w:szCs w:val="22"/>
        </w:rPr>
        <w:t>é</w:t>
      </w:r>
      <w:r w:rsidRPr="00EE49C9">
        <w:rPr>
          <w:rFonts w:ascii="Gambria" w:hAnsi="Gambria" w:cs="Arial"/>
          <w:sz w:val="22"/>
          <w:szCs w:val="22"/>
        </w:rPr>
        <w:t>ho alebo jeho zamestnanca v</w:t>
      </w:r>
      <w:r w:rsidRPr="00EE49C9">
        <w:rPr>
          <w:rFonts w:ascii="Gambria" w:hAnsi="Gambria" w:cs="Arial" w:hint="eastAsia"/>
          <w:sz w:val="22"/>
          <w:szCs w:val="22"/>
        </w:rPr>
        <w:t> </w:t>
      </w:r>
      <w:r w:rsidRPr="00EE49C9">
        <w:rPr>
          <w:rFonts w:ascii="Gambria" w:hAnsi="Gambria" w:cs="Arial"/>
          <w:sz w:val="22"/>
          <w:szCs w:val="22"/>
        </w:rPr>
        <w:t>pr</w:t>
      </w:r>
      <w:r w:rsidRPr="00EE49C9">
        <w:rPr>
          <w:rFonts w:ascii="Gambria" w:hAnsi="Gambria" w:cs="Arial" w:hint="eastAsia"/>
          <w:sz w:val="22"/>
          <w:szCs w:val="22"/>
        </w:rPr>
        <w:t>í</w:t>
      </w:r>
      <w:r w:rsidRPr="00EE49C9">
        <w:rPr>
          <w:rFonts w:ascii="Gambria" w:hAnsi="Gambria" w:cs="Arial"/>
          <w:sz w:val="22"/>
          <w:szCs w:val="22"/>
        </w:rPr>
        <w:t>pravnom konan</w:t>
      </w:r>
      <w:r w:rsidRPr="00EE49C9">
        <w:rPr>
          <w:rFonts w:ascii="Gambria" w:hAnsi="Gambria" w:cs="Arial" w:hint="eastAsia"/>
          <w:sz w:val="22"/>
          <w:szCs w:val="22"/>
        </w:rPr>
        <w:t>í</w:t>
      </w:r>
      <w:r w:rsidRPr="00EE49C9">
        <w:rPr>
          <w:rFonts w:ascii="Gambria" w:hAnsi="Gambria" w:cs="Arial"/>
          <w:sz w:val="22"/>
          <w:szCs w:val="22"/>
        </w:rPr>
        <w:t xml:space="preserve"> a pred s</w:t>
      </w:r>
      <w:r w:rsidRPr="00EE49C9">
        <w:rPr>
          <w:rFonts w:ascii="Gambria" w:hAnsi="Gambria" w:cs="Arial" w:hint="eastAsia"/>
          <w:sz w:val="22"/>
          <w:szCs w:val="22"/>
        </w:rPr>
        <w:t>ú</w:t>
      </w:r>
      <w:r w:rsidRPr="00EE49C9">
        <w:rPr>
          <w:rFonts w:ascii="Gambria" w:hAnsi="Gambria" w:cs="Arial"/>
          <w:sz w:val="22"/>
          <w:szCs w:val="22"/>
        </w:rPr>
        <w:t>dom v konan</w:t>
      </w:r>
      <w:r w:rsidRPr="00EE49C9">
        <w:rPr>
          <w:rFonts w:ascii="Gambria" w:hAnsi="Gambria" w:cs="Arial" w:hint="eastAsia"/>
          <w:sz w:val="22"/>
          <w:szCs w:val="22"/>
        </w:rPr>
        <w:t>í</w:t>
      </w:r>
      <w:r w:rsidRPr="00EE49C9">
        <w:rPr>
          <w:rFonts w:ascii="Gambria" w:hAnsi="Gambria" w:cs="Arial"/>
          <w:sz w:val="22"/>
          <w:szCs w:val="22"/>
        </w:rPr>
        <w:t xml:space="preserve"> vedenom proti poisten</w:t>
      </w:r>
      <w:r w:rsidRPr="00EE49C9">
        <w:rPr>
          <w:rFonts w:ascii="Gambria" w:hAnsi="Gambria" w:cs="Arial" w:hint="eastAsia"/>
          <w:sz w:val="22"/>
          <w:szCs w:val="22"/>
        </w:rPr>
        <w:t>é</w:t>
      </w:r>
      <w:r w:rsidRPr="00EE49C9">
        <w:rPr>
          <w:rFonts w:ascii="Gambria" w:hAnsi="Gambria" w:cs="Arial"/>
          <w:sz w:val="22"/>
          <w:szCs w:val="22"/>
        </w:rPr>
        <w:t>mu,</w:t>
      </w:r>
    </w:p>
    <w:p w14:paraId="526F2F39"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ob</w:t>
      </w:r>
      <w:r w:rsidRPr="00EE49C9">
        <w:rPr>
          <w:rFonts w:ascii="Gambria" w:hAnsi="Gambria" w:cs="Arial" w:hint="eastAsia"/>
          <w:sz w:val="22"/>
          <w:szCs w:val="22"/>
        </w:rPr>
        <w:t>č</w:t>
      </w:r>
      <w:r w:rsidRPr="00EE49C9">
        <w:rPr>
          <w:rFonts w:ascii="Gambria" w:hAnsi="Gambria" w:cs="Arial"/>
          <w:sz w:val="22"/>
          <w:szCs w:val="22"/>
        </w:rPr>
        <w:t>ianskeho s</w:t>
      </w:r>
      <w:r w:rsidRPr="00EE49C9">
        <w:rPr>
          <w:rFonts w:ascii="Gambria" w:hAnsi="Gambria" w:cs="Arial" w:hint="eastAsia"/>
          <w:sz w:val="22"/>
          <w:szCs w:val="22"/>
        </w:rPr>
        <w:t>ú</w:t>
      </w:r>
      <w:r w:rsidRPr="00EE49C9">
        <w:rPr>
          <w:rFonts w:ascii="Gambria" w:hAnsi="Gambria" w:cs="Arial"/>
          <w:sz w:val="22"/>
          <w:szCs w:val="22"/>
        </w:rPr>
        <w:t>dneho konania o n</w:t>
      </w:r>
      <w:r w:rsidRPr="00EE49C9">
        <w:rPr>
          <w:rFonts w:ascii="Gambria" w:hAnsi="Gambria" w:cs="Arial" w:hint="eastAsia"/>
          <w:sz w:val="22"/>
          <w:szCs w:val="22"/>
        </w:rPr>
        <w:t>á</w:t>
      </w:r>
      <w:r w:rsidRPr="00EE49C9">
        <w:rPr>
          <w:rFonts w:ascii="Gambria" w:hAnsi="Gambria" w:cs="Arial"/>
          <w:sz w:val="22"/>
          <w:szCs w:val="22"/>
        </w:rPr>
        <w:t xml:space="preserve">hrade </w:t>
      </w:r>
      <w:r w:rsidRPr="00EE49C9">
        <w:rPr>
          <w:rFonts w:ascii="Gambria" w:hAnsi="Gambria" w:cs="Arial" w:hint="eastAsia"/>
          <w:sz w:val="22"/>
          <w:szCs w:val="22"/>
        </w:rPr>
        <w:t>š</w:t>
      </w:r>
      <w:r w:rsidRPr="00EE49C9">
        <w:rPr>
          <w:rFonts w:ascii="Gambria" w:hAnsi="Gambria" w:cs="Arial"/>
          <w:sz w:val="22"/>
          <w:szCs w:val="22"/>
        </w:rPr>
        <w:t>kody pred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m org</w:t>
      </w:r>
      <w:r w:rsidRPr="00EE49C9">
        <w:rPr>
          <w:rFonts w:ascii="Gambria" w:hAnsi="Gambria" w:cs="Arial" w:hint="eastAsia"/>
          <w:sz w:val="22"/>
          <w:szCs w:val="22"/>
        </w:rPr>
        <w:t>á</w:t>
      </w:r>
      <w:r w:rsidRPr="00EE49C9">
        <w:rPr>
          <w:rFonts w:ascii="Gambria" w:hAnsi="Gambria" w:cs="Arial"/>
          <w:sz w:val="22"/>
          <w:szCs w:val="22"/>
        </w:rPr>
        <w:t>nom, ak toto konanie bolo potrebn</w:t>
      </w:r>
      <w:r w:rsidRPr="00EE49C9">
        <w:rPr>
          <w:rFonts w:ascii="Gambria" w:hAnsi="Gambria" w:cs="Arial" w:hint="eastAsia"/>
          <w:sz w:val="22"/>
          <w:szCs w:val="22"/>
        </w:rPr>
        <w:t>é</w:t>
      </w:r>
      <w:r w:rsidRPr="00EE49C9">
        <w:rPr>
          <w:rFonts w:ascii="Gambria" w:hAnsi="Gambria" w:cs="Arial"/>
          <w:sz w:val="22"/>
          <w:szCs w:val="22"/>
        </w:rPr>
        <w:t xml:space="preserve"> na zistenie zodpovednosti poisten</w:t>
      </w:r>
      <w:r w:rsidRPr="00EE49C9">
        <w:rPr>
          <w:rFonts w:ascii="Gambria" w:hAnsi="Gambria" w:cs="Arial" w:hint="eastAsia"/>
          <w:sz w:val="22"/>
          <w:szCs w:val="22"/>
        </w:rPr>
        <w:t>é</w:t>
      </w:r>
      <w:r w:rsidRPr="00EE49C9">
        <w:rPr>
          <w:rFonts w:ascii="Gambria" w:hAnsi="Gambria" w:cs="Arial"/>
          <w:sz w:val="22"/>
          <w:szCs w:val="22"/>
        </w:rPr>
        <w:t>ho alebo v</w:t>
      </w:r>
      <w:r w:rsidRPr="00EE49C9">
        <w:rPr>
          <w:rFonts w:ascii="Gambria" w:hAnsi="Gambria" w:cs="Arial" w:hint="eastAsia"/>
          <w:sz w:val="22"/>
          <w:szCs w:val="22"/>
        </w:rPr>
        <w:t>ýš</w:t>
      </w:r>
      <w:r w:rsidRPr="00EE49C9">
        <w:rPr>
          <w:rFonts w:ascii="Gambria" w:hAnsi="Gambria" w:cs="Arial"/>
          <w:sz w:val="22"/>
          <w:szCs w:val="22"/>
        </w:rPr>
        <w:t>ky plnenia poistite</w:t>
      </w:r>
      <w:r w:rsidRPr="00EE49C9">
        <w:rPr>
          <w:rFonts w:ascii="Gambria" w:hAnsi="Gambria" w:cs="Arial" w:hint="eastAsia"/>
          <w:sz w:val="22"/>
          <w:szCs w:val="22"/>
        </w:rPr>
        <w:t>ľ</w:t>
      </w:r>
      <w:r w:rsidRPr="00EE49C9">
        <w:rPr>
          <w:rFonts w:ascii="Gambria" w:hAnsi="Gambria" w:cs="Arial"/>
          <w:sz w:val="22"/>
          <w:szCs w:val="22"/>
        </w:rPr>
        <w:t>a, pokia</w:t>
      </w:r>
      <w:r w:rsidRPr="00EE49C9">
        <w:rPr>
          <w:rFonts w:ascii="Gambria" w:hAnsi="Gambria" w:cs="Arial" w:hint="eastAsia"/>
          <w:sz w:val="22"/>
          <w:szCs w:val="22"/>
        </w:rPr>
        <w:t>ľ</w:t>
      </w:r>
      <w:r w:rsidRPr="00EE49C9">
        <w:rPr>
          <w:rFonts w:ascii="Gambria" w:hAnsi="Gambria" w:cs="Arial"/>
          <w:sz w:val="22"/>
          <w:szCs w:val="22"/>
        </w:rPr>
        <w:t xml:space="preserve"> je poisten</w:t>
      </w:r>
      <w:r w:rsidRPr="00EE49C9">
        <w:rPr>
          <w:rFonts w:ascii="Gambria" w:hAnsi="Gambria" w:cs="Arial" w:hint="eastAsia"/>
          <w:sz w:val="22"/>
          <w:szCs w:val="22"/>
        </w:rPr>
        <w:t>ý</w:t>
      </w:r>
      <w:r w:rsidRPr="00EE49C9">
        <w:rPr>
          <w:rFonts w:ascii="Gambria" w:hAnsi="Gambria" w:cs="Arial"/>
          <w:sz w:val="22"/>
          <w:szCs w:val="22"/>
        </w:rPr>
        <w:t xml:space="preserve"> povinn</w:t>
      </w:r>
      <w:r w:rsidRPr="00EE49C9">
        <w:rPr>
          <w:rFonts w:ascii="Gambria" w:hAnsi="Gambria" w:cs="Arial" w:hint="eastAsia"/>
          <w:sz w:val="22"/>
          <w:szCs w:val="22"/>
        </w:rPr>
        <w:t>ý</w:t>
      </w:r>
      <w:r w:rsidRPr="00EE49C9">
        <w:rPr>
          <w:rFonts w:ascii="Gambria" w:hAnsi="Gambria" w:cs="Arial"/>
          <w:sz w:val="22"/>
          <w:szCs w:val="22"/>
        </w:rPr>
        <w:t xml:space="preserve"> ich uhradi</w:t>
      </w:r>
      <w:r w:rsidRPr="00EE49C9">
        <w:rPr>
          <w:rFonts w:ascii="Gambria" w:hAnsi="Gambria" w:cs="Arial" w:hint="eastAsia"/>
          <w:sz w:val="22"/>
          <w:szCs w:val="22"/>
        </w:rPr>
        <w:t>ť</w:t>
      </w:r>
      <w:r w:rsidRPr="00EE49C9">
        <w:rPr>
          <w:rFonts w:ascii="Gambria" w:hAnsi="Gambria" w:cs="Arial"/>
          <w:sz w:val="22"/>
          <w:szCs w:val="22"/>
        </w:rPr>
        <w:t>, ako aj trovy pr</w:t>
      </w:r>
      <w:r w:rsidRPr="00EE49C9">
        <w:rPr>
          <w:rFonts w:ascii="Gambria" w:hAnsi="Gambria" w:cs="Arial" w:hint="eastAsia"/>
          <w:sz w:val="22"/>
          <w:szCs w:val="22"/>
        </w:rPr>
        <w:t>á</w:t>
      </w:r>
      <w:r w:rsidRPr="00EE49C9">
        <w:rPr>
          <w:rFonts w:ascii="Gambria" w:hAnsi="Gambria" w:cs="Arial"/>
          <w:sz w:val="22"/>
          <w:szCs w:val="22"/>
        </w:rPr>
        <w:t>vneho zast</w:t>
      </w:r>
      <w:r w:rsidRPr="00EE49C9">
        <w:rPr>
          <w:rFonts w:ascii="Gambria" w:hAnsi="Gambria" w:cs="Arial" w:hint="eastAsia"/>
          <w:sz w:val="22"/>
          <w:szCs w:val="22"/>
        </w:rPr>
        <w:t>ú</w:t>
      </w:r>
      <w:r w:rsidRPr="00EE49C9">
        <w:rPr>
          <w:rFonts w:ascii="Gambria" w:hAnsi="Gambria" w:cs="Arial"/>
          <w:sz w:val="22"/>
          <w:szCs w:val="22"/>
        </w:rPr>
        <w:t>penia poisten</w:t>
      </w:r>
      <w:r w:rsidRPr="00EE49C9">
        <w:rPr>
          <w:rFonts w:ascii="Gambria" w:hAnsi="Gambria" w:cs="Arial" w:hint="eastAsia"/>
          <w:sz w:val="22"/>
          <w:szCs w:val="22"/>
        </w:rPr>
        <w:t>é</w:t>
      </w:r>
      <w:r w:rsidRPr="00EE49C9">
        <w:rPr>
          <w:rFonts w:ascii="Gambria" w:hAnsi="Gambria" w:cs="Arial"/>
          <w:sz w:val="22"/>
          <w:szCs w:val="22"/>
        </w:rPr>
        <w:t>ho,</w:t>
      </w:r>
    </w:p>
    <w:p w14:paraId="0E739140"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n</w:t>
      </w:r>
      <w:r w:rsidRPr="00EE49C9">
        <w:rPr>
          <w:rFonts w:ascii="Gambria" w:hAnsi="Gambria" w:cs="Arial" w:hint="eastAsia"/>
          <w:sz w:val="22"/>
          <w:szCs w:val="22"/>
        </w:rPr>
        <w:t>á</w:t>
      </w:r>
      <w:r w:rsidRPr="00EE49C9">
        <w:rPr>
          <w:rFonts w:ascii="Gambria" w:hAnsi="Gambria" w:cs="Arial"/>
          <w:sz w:val="22"/>
          <w:szCs w:val="22"/>
        </w:rPr>
        <w:t>klady mimos</w:t>
      </w:r>
      <w:r w:rsidRPr="00EE49C9">
        <w:rPr>
          <w:rFonts w:ascii="Gambria" w:hAnsi="Gambria" w:cs="Arial" w:hint="eastAsia"/>
          <w:sz w:val="22"/>
          <w:szCs w:val="22"/>
        </w:rPr>
        <w:t>ú</w:t>
      </w:r>
      <w:r w:rsidRPr="00EE49C9">
        <w:rPr>
          <w:rFonts w:ascii="Gambria" w:hAnsi="Gambria" w:cs="Arial"/>
          <w:sz w:val="22"/>
          <w:szCs w:val="22"/>
        </w:rPr>
        <w:t>dneho prerokov</w:t>
      </w:r>
      <w:r w:rsidRPr="00EE49C9">
        <w:rPr>
          <w:rFonts w:ascii="Gambria" w:hAnsi="Gambria" w:cs="Arial" w:hint="eastAsia"/>
          <w:sz w:val="22"/>
          <w:szCs w:val="22"/>
        </w:rPr>
        <w:t>á</w:t>
      </w:r>
      <w:r w:rsidRPr="00EE49C9">
        <w:rPr>
          <w:rFonts w:ascii="Gambria" w:hAnsi="Gambria" w:cs="Arial"/>
          <w:sz w:val="22"/>
          <w:szCs w:val="22"/>
        </w:rPr>
        <w:t>vania n</w:t>
      </w:r>
      <w:r w:rsidRPr="00EE49C9">
        <w:rPr>
          <w:rFonts w:ascii="Gambria" w:hAnsi="Gambria" w:cs="Arial" w:hint="eastAsia"/>
          <w:sz w:val="22"/>
          <w:szCs w:val="22"/>
        </w:rPr>
        <w:t>á</w:t>
      </w:r>
      <w:r w:rsidRPr="00EE49C9">
        <w:rPr>
          <w:rFonts w:ascii="Gambria" w:hAnsi="Gambria" w:cs="Arial"/>
          <w:sz w:val="22"/>
          <w:szCs w:val="22"/>
        </w:rPr>
        <w:t>rokov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é</w:t>
      </w:r>
      <w:r w:rsidRPr="00EE49C9">
        <w:rPr>
          <w:rFonts w:ascii="Gambria" w:hAnsi="Gambria" w:cs="Arial"/>
          <w:sz w:val="22"/>
          <w:szCs w:val="22"/>
        </w:rPr>
        <w:t>ho, vzniknut</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é</w:t>
      </w:r>
      <w:r w:rsidRPr="00EE49C9">
        <w:rPr>
          <w:rFonts w:ascii="Gambria" w:hAnsi="Gambria" w:cs="Arial"/>
          <w:sz w:val="22"/>
          <w:szCs w:val="22"/>
        </w:rPr>
        <w:t>mu alebo jeho z</w:t>
      </w:r>
      <w:r w:rsidRPr="00EE49C9">
        <w:rPr>
          <w:rFonts w:ascii="Gambria" w:hAnsi="Gambria" w:cs="Arial" w:hint="eastAsia"/>
          <w:sz w:val="22"/>
          <w:szCs w:val="22"/>
        </w:rPr>
        <w:t>á</w:t>
      </w:r>
      <w:r w:rsidRPr="00EE49C9">
        <w:rPr>
          <w:rFonts w:ascii="Gambria" w:hAnsi="Gambria" w:cs="Arial"/>
          <w:sz w:val="22"/>
          <w:szCs w:val="22"/>
        </w:rPr>
        <w:t>stupcovi, pokia</w:t>
      </w:r>
      <w:r w:rsidRPr="00EE49C9">
        <w:rPr>
          <w:rFonts w:ascii="Gambria" w:hAnsi="Gambria" w:cs="Arial" w:hint="eastAsia"/>
          <w:sz w:val="22"/>
          <w:szCs w:val="22"/>
        </w:rPr>
        <w:t>ľ</w:t>
      </w:r>
      <w:r w:rsidRPr="00EE49C9">
        <w:rPr>
          <w:rFonts w:ascii="Gambria" w:hAnsi="Gambria" w:cs="Arial"/>
          <w:sz w:val="22"/>
          <w:szCs w:val="22"/>
        </w:rPr>
        <w:t xml:space="preserve"> je poisten</w:t>
      </w:r>
      <w:r w:rsidRPr="00EE49C9">
        <w:rPr>
          <w:rFonts w:ascii="Gambria" w:hAnsi="Gambria" w:cs="Arial" w:hint="eastAsia"/>
          <w:sz w:val="22"/>
          <w:szCs w:val="22"/>
        </w:rPr>
        <w:t>ý</w:t>
      </w:r>
      <w:r w:rsidRPr="00EE49C9">
        <w:rPr>
          <w:rFonts w:ascii="Gambria" w:hAnsi="Gambria" w:cs="Arial"/>
          <w:sz w:val="22"/>
          <w:szCs w:val="22"/>
        </w:rPr>
        <w:t xml:space="preserve"> povinn</w:t>
      </w:r>
      <w:r w:rsidRPr="00EE49C9">
        <w:rPr>
          <w:rFonts w:ascii="Gambria" w:hAnsi="Gambria" w:cs="Arial" w:hint="eastAsia"/>
          <w:sz w:val="22"/>
          <w:szCs w:val="22"/>
        </w:rPr>
        <w:t>ý</w:t>
      </w:r>
      <w:r w:rsidRPr="00EE49C9">
        <w:rPr>
          <w:rFonts w:ascii="Gambria" w:hAnsi="Gambria" w:cs="Arial"/>
          <w:sz w:val="22"/>
          <w:szCs w:val="22"/>
        </w:rPr>
        <w:t xml:space="preserve"> ich uhradi</w:t>
      </w:r>
      <w:r w:rsidRPr="00EE49C9">
        <w:rPr>
          <w:rFonts w:ascii="Gambria" w:hAnsi="Gambria" w:cs="Arial" w:hint="eastAsia"/>
          <w:sz w:val="22"/>
          <w:szCs w:val="22"/>
        </w:rPr>
        <w:t>ť</w:t>
      </w:r>
      <w:r w:rsidRPr="00EE49C9">
        <w:rPr>
          <w:rFonts w:ascii="Gambria" w:hAnsi="Gambria" w:cs="Arial"/>
          <w:sz w:val="22"/>
          <w:szCs w:val="22"/>
        </w:rPr>
        <w:t>,</w:t>
      </w:r>
    </w:p>
    <w:p w14:paraId="0297FB2D"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n</w:t>
      </w:r>
      <w:r w:rsidRPr="00EE49C9">
        <w:rPr>
          <w:rFonts w:ascii="Gambria" w:hAnsi="Gambria" w:cs="Arial" w:hint="eastAsia"/>
          <w:sz w:val="22"/>
          <w:szCs w:val="22"/>
        </w:rPr>
        <w:t>á</w:t>
      </w:r>
      <w:r w:rsidRPr="00EE49C9">
        <w:rPr>
          <w:rFonts w:ascii="Gambria" w:hAnsi="Gambria" w:cs="Arial"/>
          <w:sz w:val="22"/>
          <w:szCs w:val="22"/>
        </w:rPr>
        <w:t>klady na zistenie pr</w:t>
      </w:r>
      <w:r w:rsidRPr="00EE49C9">
        <w:rPr>
          <w:rFonts w:ascii="Gambria" w:hAnsi="Gambria" w:cs="Arial" w:hint="eastAsia"/>
          <w:sz w:val="22"/>
          <w:szCs w:val="22"/>
        </w:rPr>
        <w:t>íč</w:t>
      </w:r>
      <w:r w:rsidRPr="00EE49C9">
        <w:rPr>
          <w:rFonts w:ascii="Gambria" w:hAnsi="Gambria" w:cs="Arial"/>
          <w:sz w:val="22"/>
          <w:szCs w:val="22"/>
        </w:rPr>
        <w:t>iny vzniku poistnej udalosti (znaleck</w:t>
      </w:r>
      <w:r w:rsidRPr="00EE49C9">
        <w:rPr>
          <w:rFonts w:ascii="Gambria" w:hAnsi="Gambria" w:cs="Arial" w:hint="eastAsia"/>
          <w:sz w:val="22"/>
          <w:szCs w:val="22"/>
        </w:rPr>
        <w:t>é</w:t>
      </w:r>
      <w:r w:rsidRPr="00EE49C9">
        <w:rPr>
          <w:rFonts w:ascii="Gambria" w:hAnsi="Gambria" w:cs="Arial"/>
          <w:sz w:val="22"/>
          <w:szCs w:val="22"/>
        </w:rPr>
        <w:t xml:space="preserve"> posudky a</w:t>
      </w:r>
      <w:r w:rsidRPr="00EE49C9">
        <w:rPr>
          <w:rFonts w:ascii="Gambria" w:hAnsi="Gambria" w:cs="Arial" w:hint="eastAsia"/>
          <w:sz w:val="22"/>
          <w:szCs w:val="22"/>
        </w:rPr>
        <w:t> </w:t>
      </w:r>
      <w:r w:rsidRPr="00EE49C9">
        <w:rPr>
          <w:rFonts w:ascii="Gambria" w:hAnsi="Gambria" w:cs="Arial"/>
          <w:sz w:val="22"/>
          <w:szCs w:val="22"/>
        </w:rPr>
        <w:t>pod.)</w:t>
      </w:r>
    </w:p>
    <w:p w14:paraId="1B8BA64C"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577766E2" w14:textId="77777777" w:rsidR="00A1602B" w:rsidRPr="00EF70E1" w:rsidRDefault="00A1602B" w:rsidP="00A1602B">
      <w:pPr>
        <w:pStyle w:val="ListParagraph"/>
        <w:numPr>
          <w:ilvl w:val="1"/>
          <w:numId w:val="30"/>
        </w:numPr>
        <w:spacing w:line="259" w:lineRule="auto"/>
        <w:ind w:left="567" w:hanging="567"/>
        <w:rPr>
          <w:rFonts w:ascii="Gambria" w:hAnsi="Gambria"/>
          <w:b/>
          <w:bCs/>
          <w:sz w:val="22"/>
          <w:szCs w:val="22"/>
          <w:lang w:val="cs-CZ"/>
        </w:rPr>
      </w:pPr>
      <w:r w:rsidRPr="00EF70E1">
        <w:rPr>
          <w:rFonts w:ascii="Gambria" w:hAnsi="Gambria"/>
          <w:b/>
          <w:bCs/>
          <w:sz w:val="22"/>
          <w:szCs w:val="22"/>
          <w:lang w:val="cs-CZ"/>
        </w:rPr>
        <w:t>Poistné hodnoty</w:t>
      </w:r>
    </w:p>
    <w:p w14:paraId="1AB2E291" w14:textId="77777777" w:rsidR="00A1602B" w:rsidRPr="00EF70E1" w:rsidRDefault="00A1602B" w:rsidP="00A1602B">
      <w:pPr>
        <w:spacing w:line="259" w:lineRule="auto"/>
        <w:ind w:left="567" w:hanging="567"/>
        <w:rPr>
          <w:rFonts w:ascii="Gambria" w:hAnsi="Gambria"/>
          <w:sz w:val="22"/>
          <w:szCs w:val="22"/>
          <w:lang w:val="x-none"/>
        </w:rPr>
      </w:pPr>
      <w:r w:rsidRPr="00EF70E1">
        <w:rPr>
          <w:rFonts w:ascii="Gambria" w:hAnsi="Gambria"/>
          <w:sz w:val="22"/>
          <w:szCs w:val="22"/>
          <w:lang w:val="x-none"/>
        </w:rPr>
        <w:t xml:space="preserve"> </w:t>
      </w:r>
    </w:p>
    <w:p w14:paraId="5BAA8ED2"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Poistenie majetku je dojednané na nové ceny. Pri poistení na nové ceny sa nebude brať do úvahy miera opotrebenia a poistiteľ uhradí primerané náklady na opravu alebo znovuzriadenie poškodenej alebo zničenej veci až do výšky nákladov na jej znovunadobudnutie ku dňu vzniku poistnej udalosti, zníženú o cenu použiteľných zvyškov, najviac však poistnú sumu stanovenú v rámcovej dohode, resp. v príslušnej poistnej zmluve. </w:t>
      </w:r>
    </w:p>
    <w:p w14:paraId="3935E655"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Pod pojmom Nová cena sa rozumie cena, za ktorú je možné na danom mieste a v danom čase rovnakú vec kúpiť alebo porovnateľnú vec získať. Ide o veci rovnakého druhu a účelu.</w:t>
      </w:r>
    </w:p>
    <w:p w14:paraId="63D20EC3"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0C8D3E69"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Poistiteľ nebude uplatňovať princíp podpoistenia. </w:t>
      </w:r>
    </w:p>
    <w:p w14:paraId="21A00761"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b/>
          <w:bCs/>
          <w:sz w:val="22"/>
          <w:szCs w:val="22"/>
        </w:rPr>
        <w:lastRenderedPageBreak/>
        <w:t xml:space="preserve">Limit poistného plnenia </w:t>
      </w:r>
      <w:r w:rsidRPr="00EF70E1">
        <w:rPr>
          <w:rFonts w:ascii="Gambria" w:hAnsi="Gambria"/>
          <w:bCs/>
          <w:sz w:val="22"/>
          <w:szCs w:val="22"/>
        </w:rPr>
        <w:t>je najvyššia hranica poistného plnenia p</w:t>
      </w:r>
      <w:r w:rsidRPr="00EF70E1">
        <w:rPr>
          <w:rFonts w:ascii="Gambria" w:hAnsi="Gambria"/>
          <w:sz w:val="22"/>
          <w:szCs w:val="22"/>
        </w:rPr>
        <w:t xml:space="preserve">oistiteľa </w:t>
      </w:r>
      <w:r w:rsidRPr="00EF70E1">
        <w:rPr>
          <w:rFonts w:ascii="Gambria" w:hAnsi="Gambria"/>
          <w:bCs/>
          <w:sz w:val="22"/>
          <w:szCs w:val="22"/>
        </w:rPr>
        <w:t>pri jednej alebo viacerých poistných udalostiach.</w:t>
      </w:r>
      <w:r>
        <w:rPr>
          <w:rFonts w:ascii="Gambria" w:hAnsi="Gambria"/>
          <w:bCs/>
          <w:sz w:val="22"/>
          <w:szCs w:val="22"/>
        </w:rPr>
        <w:t xml:space="preserve"> Limity poistného plnenia sú uvedené v čl. II tejto rámcovej dohody a príloha č. 1 tejto rámcovej dohody.</w:t>
      </w:r>
    </w:p>
    <w:p w14:paraId="1347E7C9"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Poistiteľ </w:t>
      </w:r>
      <w:r w:rsidRPr="00EF70E1">
        <w:rPr>
          <w:rFonts w:ascii="Gambria" w:hAnsi="Gambria"/>
          <w:bCs/>
          <w:sz w:val="22"/>
          <w:szCs w:val="22"/>
        </w:rPr>
        <w:t xml:space="preserve">nemôže znížiť požadovaný rozsah poistenia v rámcovej dohode svojimi všeobecnými poistnými podmienkami a zmluvnými dojednaniami. V prípade, že zmluvné dojednania alebo príslušné všeobecné poistné podmienky rozširujú rozsah krytia tejto rámcovej dohody a jej podmienok a sú v prospech poisteného, má poistený nárok na poistné plnenie podľa týchto poistných podmienok. </w:t>
      </w:r>
    </w:p>
    <w:p w14:paraId="4893D1CD"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69E47FC2"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7E0630F4"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III.</w:t>
      </w:r>
    </w:p>
    <w:p w14:paraId="4E910E08"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Miesto a lehota poskytnutia služby</w:t>
      </w:r>
    </w:p>
    <w:p w14:paraId="2DD41975" w14:textId="77777777" w:rsidR="00A1602B" w:rsidRPr="00EF70E1" w:rsidRDefault="00A1602B" w:rsidP="00A1602B">
      <w:pPr>
        <w:spacing w:line="259" w:lineRule="auto"/>
        <w:ind w:left="567" w:hanging="567"/>
        <w:rPr>
          <w:rFonts w:ascii="Gambria" w:hAnsi="Gambria"/>
          <w:bCs/>
          <w:sz w:val="22"/>
          <w:szCs w:val="22"/>
        </w:rPr>
      </w:pPr>
    </w:p>
    <w:p w14:paraId="3CE15B18" w14:textId="77777777" w:rsidR="00A1602B" w:rsidRDefault="00A1602B" w:rsidP="00A1602B">
      <w:pPr>
        <w:pStyle w:val="ListParagraph"/>
        <w:numPr>
          <w:ilvl w:val="0"/>
          <w:numId w:val="6"/>
        </w:numPr>
        <w:spacing w:line="259" w:lineRule="auto"/>
        <w:ind w:left="567" w:hanging="567"/>
        <w:rPr>
          <w:rFonts w:ascii="Gambria" w:hAnsi="Gambria"/>
          <w:bCs/>
          <w:sz w:val="22"/>
          <w:szCs w:val="22"/>
        </w:rPr>
      </w:pPr>
      <w:r w:rsidRPr="00EF70E1">
        <w:rPr>
          <w:rFonts w:ascii="Gambria" w:hAnsi="Gambria"/>
          <w:bCs/>
          <w:sz w:val="22"/>
          <w:szCs w:val="22"/>
        </w:rPr>
        <w:t>Miestom poskytnutia služby je územie Slovenskej republiky  v zmysle účtovnej alebo inej evidencie poistníka.</w:t>
      </w:r>
    </w:p>
    <w:p w14:paraId="2C708D66" w14:textId="77777777" w:rsidR="00A1602B" w:rsidRPr="00EF70E1" w:rsidRDefault="00A1602B" w:rsidP="00A1602B">
      <w:pPr>
        <w:pStyle w:val="ListParagraph"/>
        <w:numPr>
          <w:ilvl w:val="0"/>
          <w:numId w:val="6"/>
        </w:numPr>
        <w:spacing w:line="259" w:lineRule="auto"/>
        <w:ind w:left="567" w:hanging="567"/>
        <w:rPr>
          <w:rFonts w:ascii="Gambria" w:hAnsi="Gambria"/>
          <w:bCs/>
          <w:sz w:val="22"/>
          <w:szCs w:val="22"/>
        </w:rPr>
      </w:pPr>
      <w:r w:rsidRPr="00EF70E1">
        <w:rPr>
          <w:rFonts w:ascii="Gambria" w:hAnsi="Gambria"/>
          <w:bCs/>
          <w:sz w:val="22"/>
          <w:szCs w:val="22"/>
        </w:rPr>
        <w:t>Lehota poskytnutia služby:</w:t>
      </w:r>
    </w:p>
    <w:p w14:paraId="74ED482F" w14:textId="77777777" w:rsidR="00A1602B" w:rsidRPr="00EF70E1" w:rsidRDefault="00A1602B" w:rsidP="00A1602B">
      <w:pPr>
        <w:pStyle w:val="ListParagraph"/>
        <w:numPr>
          <w:ilvl w:val="1"/>
          <w:numId w:val="6"/>
        </w:numPr>
        <w:spacing w:line="259" w:lineRule="auto"/>
        <w:ind w:left="567" w:hanging="567"/>
        <w:rPr>
          <w:rFonts w:ascii="Gambria" w:hAnsi="Gambria"/>
          <w:bCs/>
          <w:sz w:val="22"/>
          <w:szCs w:val="22"/>
        </w:rPr>
      </w:pPr>
      <w:r w:rsidRPr="00EF70E1">
        <w:rPr>
          <w:rFonts w:ascii="Gambria" w:hAnsi="Gambria"/>
          <w:bCs/>
          <w:sz w:val="22"/>
          <w:szCs w:val="22"/>
        </w:rPr>
        <w:t>Začiatok poskytnutia služby: 01.01.2021, 00.00 h</w:t>
      </w:r>
    </w:p>
    <w:p w14:paraId="4DF733E0" w14:textId="77777777" w:rsidR="00A1602B" w:rsidRPr="00EF70E1" w:rsidRDefault="00A1602B" w:rsidP="00A1602B">
      <w:pPr>
        <w:pStyle w:val="ListParagraph"/>
        <w:numPr>
          <w:ilvl w:val="1"/>
          <w:numId w:val="6"/>
        </w:numPr>
        <w:spacing w:line="259" w:lineRule="auto"/>
        <w:ind w:left="567" w:hanging="567"/>
        <w:rPr>
          <w:rFonts w:ascii="Gambria" w:hAnsi="Gambria"/>
          <w:bCs/>
          <w:sz w:val="22"/>
          <w:szCs w:val="22"/>
        </w:rPr>
      </w:pPr>
      <w:r>
        <w:rPr>
          <w:rFonts w:ascii="Gambria" w:hAnsi="Gambria"/>
          <w:bCs/>
          <w:sz w:val="22"/>
          <w:szCs w:val="22"/>
        </w:rPr>
        <w:t xml:space="preserve">Koniec </w:t>
      </w:r>
      <w:r w:rsidRPr="00EF70E1">
        <w:rPr>
          <w:rFonts w:ascii="Gambria" w:hAnsi="Gambria"/>
          <w:bCs/>
          <w:sz w:val="22"/>
          <w:szCs w:val="22"/>
        </w:rPr>
        <w:t xml:space="preserve"> poskytnutia služby</w:t>
      </w:r>
      <w:r>
        <w:rPr>
          <w:rFonts w:ascii="Gambria" w:hAnsi="Gambria"/>
          <w:bCs/>
          <w:sz w:val="22"/>
          <w:szCs w:val="22"/>
        </w:rPr>
        <w:t>:</w:t>
      </w:r>
      <w:r w:rsidRPr="00EF70E1">
        <w:rPr>
          <w:rFonts w:ascii="Gambria" w:hAnsi="Gambria"/>
          <w:bCs/>
          <w:sz w:val="22"/>
          <w:szCs w:val="22"/>
        </w:rPr>
        <w:t xml:space="preserve">  </w:t>
      </w:r>
      <w:r>
        <w:rPr>
          <w:rFonts w:ascii="Gambria" w:hAnsi="Gambria"/>
          <w:bCs/>
          <w:sz w:val="22"/>
          <w:szCs w:val="22"/>
        </w:rPr>
        <w:t>bude uvedený v poistnej zmluve v zmysle čl. VI. bodu 1 tejto rámcovej dohody</w:t>
      </w:r>
    </w:p>
    <w:p w14:paraId="1F8DFB82" w14:textId="77777777" w:rsidR="00A1602B" w:rsidRPr="00EF70E1" w:rsidRDefault="00A1602B" w:rsidP="00A1602B">
      <w:pPr>
        <w:spacing w:line="259" w:lineRule="auto"/>
        <w:ind w:left="567" w:hanging="567"/>
        <w:rPr>
          <w:rFonts w:ascii="Gambria" w:hAnsi="Gambria"/>
          <w:bCs/>
          <w:sz w:val="22"/>
          <w:szCs w:val="22"/>
        </w:rPr>
      </w:pPr>
    </w:p>
    <w:p w14:paraId="24F6699E" w14:textId="77777777" w:rsidR="00A1602B" w:rsidRPr="00EF70E1" w:rsidRDefault="00A1602B" w:rsidP="00A1602B">
      <w:pPr>
        <w:pStyle w:val="ListParagraph"/>
        <w:spacing w:line="259" w:lineRule="auto"/>
        <w:ind w:left="567" w:hanging="567"/>
        <w:rPr>
          <w:rFonts w:ascii="Gambria" w:hAnsi="Gambria"/>
          <w:bCs/>
          <w:sz w:val="22"/>
          <w:szCs w:val="22"/>
        </w:rPr>
      </w:pPr>
    </w:p>
    <w:p w14:paraId="1C3E9F81" w14:textId="77777777" w:rsidR="00A1602B" w:rsidRPr="00EF70E1" w:rsidRDefault="00A1602B" w:rsidP="00A1602B">
      <w:pPr>
        <w:ind w:left="567" w:hanging="567"/>
        <w:jc w:val="center"/>
        <w:rPr>
          <w:rFonts w:ascii="Gambria" w:hAnsi="Gambria"/>
          <w:b/>
          <w:bCs/>
          <w:sz w:val="22"/>
          <w:szCs w:val="22"/>
          <w:u w:val="single"/>
        </w:rPr>
      </w:pPr>
      <w:r w:rsidRPr="00EF70E1">
        <w:rPr>
          <w:rFonts w:ascii="Gambria" w:hAnsi="Gambria"/>
          <w:b/>
          <w:bCs/>
          <w:sz w:val="22"/>
          <w:szCs w:val="22"/>
          <w:u w:val="single"/>
        </w:rPr>
        <w:t>Článok IV.</w:t>
      </w:r>
    </w:p>
    <w:p w14:paraId="2979C7D2" w14:textId="77777777" w:rsidR="00A1602B" w:rsidRPr="00EF70E1" w:rsidRDefault="00A1602B" w:rsidP="00A1602B">
      <w:pPr>
        <w:ind w:left="567" w:hanging="567"/>
        <w:jc w:val="center"/>
        <w:rPr>
          <w:rFonts w:ascii="Gambria" w:hAnsi="Gambria"/>
          <w:b/>
          <w:bCs/>
          <w:sz w:val="22"/>
          <w:szCs w:val="22"/>
          <w:u w:val="single"/>
        </w:rPr>
      </w:pPr>
      <w:r w:rsidRPr="00EF70E1">
        <w:rPr>
          <w:rFonts w:ascii="Gambria" w:hAnsi="Gambria"/>
          <w:b/>
          <w:bCs/>
          <w:sz w:val="22"/>
          <w:szCs w:val="22"/>
          <w:u w:val="single"/>
        </w:rPr>
        <w:t>Spôsob a podmienky dojednávania poistných zmlúv</w:t>
      </w:r>
    </w:p>
    <w:p w14:paraId="3FF3805B" w14:textId="77777777" w:rsidR="00A1602B" w:rsidRPr="00EF70E1" w:rsidRDefault="00A1602B" w:rsidP="00A1602B">
      <w:pPr>
        <w:ind w:left="567" w:hanging="567"/>
        <w:rPr>
          <w:rFonts w:ascii="Gambria" w:hAnsi="Gambria"/>
          <w:b/>
          <w:bCs/>
          <w:sz w:val="22"/>
          <w:szCs w:val="22"/>
          <w:u w:val="single"/>
        </w:rPr>
      </w:pPr>
    </w:p>
    <w:p w14:paraId="7B8FFE51"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Na základe rámcovej dohody budú uzatvorené poistníkom poistné zmluvy v súlade s rámcovou dohodou, pričom v každej poistnej zmluve budú použité poistné sadzby a rozsah poistených rizík dohodnuté v rámcovej dohode.</w:t>
      </w:r>
    </w:p>
    <w:p w14:paraId="5E1C72C5"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Poistné zmluvy budú uzatvárané na dobu určitú v súlade s dobou účinnosti tejto rámcovej dohody.</w:t>
      </w:r>
    </w:p>
    <w:p w14:paraId="046BC776"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Poistné obdobie pri poistných zmluvách je jeden kalendárny rok, a to od 1. januára do 31. decembra, ak sa zmluvné strany nedohodnú inak.</w:t>
      </w:r>
    </w:p>
    <w:p w14:paraId="35CFAFD1" w14:textId="77777777" w:rsidR="00A1602B" w:rsidRPr="00EF70E1" w:rsidRDefault="00A1602B" w:rsidP="00A1602B">
      <w:pPr>
        <w:pStyle w:val="ListParagraph"/>
        <w:numPr>
          <w:ilvl w:val="0"/>
          <w:numId w:val="12"/>
        </w:numPr>
        <w:ind w:left="567" w:hanging="567"/>
        <w:rPr>
          <w:rFonts w:ascii="Gambria" w:hAnsi="Gambria"/>
          <w:sz w:val="22"/>
          <w:szCs w:val="22"/>
        </w:rPr>
      </w:pPr>
      <w:r w:rsidRPr="00EF70E1">
        <w:rPr>
          <w:rFonts w:ascii="Gambria" w:hAnsi="Gambria"/>
          <w:sz w:val="22"/>
          <w:szCs w:val="22"/>
        </w:rPr>
        <w:t>Poistenie podľa jednotlivých poistných zmlúv začína od dátumu vyznačenom v príslušnej poistnej zmluve ako začiatok poistenia, nie však skôr ako 01.01.2021 00.00 h  a dojednáva sa na dobu určitú v súlade s účinnosťou rámcovej dohody alebo do vyčerpania finančného limitu podľa čl. V</w:t>
      </w:r>
      <w:r>
        <w:rPr>
          <w:rFonts w:ascii="Gambria" w:hAnsi="Gambria"/>
          <w:sz w:val="22"/>
          <w:szCs w:val="22"/>
        </w:rPr>
        <w:t>I</w:t>
      </w:r>
      <w:r w:rsidRPr="00EF70E1">
        <w:rPr>
          <w:rFonts w:ascii="Gambria" w:hAnsi="Gambria"/>
          <w:sz w:val="22"/>
          <w:szCs w:val="22"/>
        </w:rPr>
        <w:t xml:space="preserve">. bod 1 tejto rámcovej dohody, podľa toho, ktorá skutočnosť nastane skôr. </w:t>
      </w:r>
    </w:p>
    <w:p w14:paraId="7B98B65F"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Poistné zmluvy budú uzatvárané v súlade s príslušnými ustanoveniami Občianskeho zákonníka a touto rámcovou dohodou. Súčasťou poistných zmlúv budú vždy Všeobecné poistné podmienky poistiteľa pre jednotlivé druhy poistenia, ktoré  sú zároveň aj Prílohou č. 2 tejto rámovej dohody, pričom dojednania tejto rámcovej dohody majú prednosť pred ustanoveniami poistných podmienok poistiteľa pre jednotlivé druhy poistenia. </w:t>
      </w:r>
    </w:p>
    <w:p w14:paraId="2C99455C"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Poistiteľ nemôže znížiť požadovaný rozsah poistenia svojimi Všeobecnými poistným podmienkami, Osobitnými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w:t>
      </w:r>
    </w:p>
    <w:p w14:paraId="0F06B52A"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Aktualizácia poistných súm pre poistenie majetku bude podľa potreby a požiadavky poistníka v priebehu poistného obdobia. Poistník si vyhradzuje právo pripoistiť, resp. </w:t>
      </w:r>
      <w:proofErr w:type="spellStart"/>
      <w:r w:rsidRPr="00EF70E1">
        <w:rPr>
          <w:rFonts w:ascii="Gambria" w:hAnsi="Gambria"/>
          <w:sz w:val="22"/>
          <w:szCs w:val="22"/>
        </w:rPr>
        <w:lastRenderedPageBreak/>
        <w:t>odpoistiť</w:t>
      </w:r>
      <w:proofErr w:type="spellEnd"/>
      <w:r w:rsidRPr="00EF70E1">
        <w:rPr>
          <w:rFonts w:ascii="Gambria" w:hAnsi="Gambria"/>
          <w:sz w:val="22"/>
          <w:szCs w:val="22"/>
        </w:rPr>
        <w:t xml:space="preserve"> poistený majetok v súlade s aktuálnym stavom a jeho potrebou</w:t>
      </w:r>
      <w:r>
        <w:rPr>
          <w:rFonts w:ascii="Gambria" w:hAnsi="Gambria"/>
          <w:sz w:val="22"/>
          <w:szCs w:val="22"/>
        </w:rPr>
        <w:t>, zaslaním podkladov</w:t>
      </w:r>
      <w:r w:rsidRPr="00EF70E1">
        <w:rPr>
          <w:rFonts w:ascii="Gambria" w:hAnsi="Gambria"/>
          <w:sz w:val="22"/>
          <w:szCs w:val="22"/>
        </w:rPr>
        <w:t xml:space="preserve"> formou e-mailu. </w:t>
      </w:r>
    </w:p>
    <w:p w14:paraId="0F60BE77"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Poistiteľ sa zaväzuje, že na žiadosť poistníka vystaví písomné potvrdenie o poistení majetku, o poistení zodpovednosti za škodu poisteného.</w:t>
      </w:r>
    </w:p>
    <w:p w14:paraId="0D77832C"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Dojednaním tejto rámcovej dohody, poistiteľ poskytne nadštandardné podmienky poistného krytia a zvýhodnené sadzby pre poistníka. Poistné sadzby pre výpočet poistného a spoluúčasti sú záväzné a nemenné po celú dobu trvania rámcovej dohody. </w:t>
      </w:r>
    </w:p>
    <w:p w14:paraId="3CEFDB58"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Poistiteľ je povinný zasielať zoznam poistných udalostí poistníkovi štvrťročne do 10-tich kalendárnych dní nasledovného miesiaca. Súčasťou zoznamu je aj vyhodnotenie aktuálnej </w:t>
      </w:r>
      <w:proofErr w:type="spellStart"/>
      <w:r w:rsidRPr="00EF70E1">
        <w:rPr>
          <w:rFonts w:ascii="Gambria" w:hAnsi="Gambria"/>
          <w:sz w:val="22"/>
          <w:szCs w:val="22"/>
        </w:rPr>
        <w:t>škodovosti</w:t>
      </w:r>
      <w:proofErr w:type="spellEnd"/>
      <w:r w:rsidRPr="00EF70E1">
        <w:rPr>
          <w:rFonts w:ascii="Gambria" w:hAnsi="Gambria"/>
          <w:sz w:val="22"/>
          <w:szCs w:val="22"/>
        </w:rPr>
        <w:t>.</w:t>
      </w:r>
    </w:p>
    <w:p w14:paraId="58BE86D3" w14:textId="77777777" w:rsidR="00A1602B" w:rsidRPr="00EF70E1" w:rsidRDefault="00A1602B" w:rsidP="00A1602B">
      <w:pPr>
        <w:spacing w:line="259" w:lineRule="auto"/>
        <w:ind w:left="567" w:hanging="567"/>
        <w:rPr>
          <w:rFonts w:ascii="Gambria" w:hAnsi="Gambria"/>
          <w:bCs/>
          <w:sz w:val="22"/>
          <w:szCs w:val="22"/>
        </w:rPr>
      </w:pPr>
    </w:p>
    <w:p w14:paraId="20472DE9" w14:textId="77777777" w:rsidR="00A1602B" w:rsidRPr="00EF70E1" w:rsidRDefault="00A1602B" w:rsidP="00A1602B">
      <w:pPr>
        <w:spacing w:line="259" w:lineRule="auto"/>
        <w:ind w:left="567" w:hanging="567"/>
        <w:rPr>
          <w:rFonts w:ascii="Gambria" w:hAnsi="Gambria"/>
          <w:bCs/>
          <w:sz w:val="22"/>
          <w:szCs w:val="22"/>
        </w:rPr>
      </w:pPr>
    </w:p>
    <w:p w14:paraId="65B914A4"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w:t>
      </w:r>
    </w:p>
    <w:p w14:paraId="0859BEFC"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Cena za poskytnutia služby</w:t>
      </w:r>
    </w:p>
    <w:p w14:paraId="76007022" w14:textId="77777777" w:rsidR="00A1602B" w:rsidRPr="00EF70E1" w:rsidRDefault="00A1602B" w:rsidP="00A1602B">
      <w:pPr>
        <w:spacing w:line="259" w:lineRule="auto"/>
        <w:ind w:left="567" w:hanging="567"/>
        <w:rPr>
          <w:rFonts w:ascii="Gambria" w:hAnsi="Gambria"/>
          <w:bCs/>
          <w:sz w:val="22"/>
          <w:szCs w:val="22"/>
        </w:rPr>
      </w:pPr>
    </w:p>
    <w:p w14:paraId="09DAB719" w14:textId="77777777" w:rsidR="00A1602B" w:rsidRPr="00EF70E1" w:rsidRDefault="00A1602B" w:rsidP="00A1602B">
      <w:pPr>
        <w:pStyle w:val="ListParagraph"/>
        <w:widowControl/>
        <w:numPr>
          <w:ilvl w:val="0"/>
          <w:numId w:val="13"/>
        </w:numPr>
        <w:autoSpaceDE/>
        <w:autoSpaceDN/>
        <w:adjustRightInd/>
        <w:ind w:left="567" w:hanging="567"/>
        <w:rPr>
          <w:rFonts w:ascii="Gambria" w:hAnsi="Gambria"/>
          <w:sz w:val="22"/>
          <w:szCs w:val="22"/>
        </w:rPr>
      </w:pPr>
      <w:r w:rsidRPr="00EF70E1">
        <w:rPr>
          <w:rFonts w:ascii="Gambria" w:hAnsi="Gambria"/>
          <w:sz w:val="22"/>
          <w:szCs w:val="22"/>
        </w:rPr>
        <w:t xml:space="preserve">Cena za poskytnutie služby (poistné)) podľa tejto rámcovej dohody je stanovená ako maximálna, na základe výsledku verejného obstarávania, ktorého úspešným uchádzačom sa stal poistiteľ. Poistné podľa tohto bodu zahŕňa všetky náklady poistiteľa vrátane akýchkoľvek poplatkov a ďalších nákladov poistiteľa alebo inej tretej osoby súvisiacich s poskytnutím poistenia. </w:t>
      </w:r>
    </w:p>
    <w:p w14:paraId="26AEFF8B" w14:textId="77777777" w:rsidR="00A1602B" w:rsidRPr="00EF70E1" w:rsidRDefault="00A1602B" w:rsidP="00A1602B">
      <w:pPr>
        <w:pStyle w:val="BodyText"/>
        <w:numPr>
          <w:ilvl w:val="0"/>
          <w:numId w:val="13"/>
        </w:numPr>
        <w:spacing w:line="259" w:lineRule="auto"/>
        <w:ind w:left="567" w:hanging="567"/>
        <w:rPr>
          <w:rFonts w:ascii="Gambria" w:hAnsi="Gambria"/>
          <w:sz w:val="22"/>
          <w:szCs w:val="22"/>
        </w:rPr>
      </w:pPr>
      <w:r>
        <w:rPr>
          <w:rFonts w:ascii="Gambria" w:hAnsi="Gambria"/>
          <w:sz w:val="22"/>
          <w:szCs w:val="22"/>
        </w:rPr>
        <w:t>Poistné</w:t>
      </w:r>
      <w:r w:rsidRPr="00EF70E1">
        <w:rPr>
          <w:rFonts w:ascii="Gambria" w:hAnsi="Gambria"/>
          <w:sz w:val="22"/>
          <w:szCs w:val="22"/>
        </w:rPr>
        <w:t xml:space="preserve"> je uvedená vrátane dane z poistenia v zmysle zákona č. 213/2018 Z. z. o dani z poistenia a o zmene a doplnení niektorých zákonov ako i akýchkoľvek ďalších poplatkov, prípadne nákladov poistiteľa.</w:t>
      </w:r>
    </w:p>
    <w:p w14:paraId="228E3996" w14:textId="77777777" w:rsidR="00A1602B" w:rsidRDefault="00A1602B" w:rsidP="00A1602B">
      <w:pPr>
        <w:pStyle w:val="ListParagraph"/>
        <w:widowControl/>
        <w:numPr>
          <w:ilvl w:val="0"/>
          <w:numId w:val="13"/>
        </w:numPr>
        <w:autoSpaceDE/>
        <w:autoSpaceDN/>
        <w:adjustRightInd/>
        <w:ind w:left="567" w:hanging="567"/>
        <w:rPr>
          <w:rFonts w:ascii="Gambria" w:hAnsi="Gambria"/>
          <w:sz w:val="22"/>
          <w:szCs w:val="22"/>
        </w:rPr>
      </w:pPr>
      <w:r w:rsidRPr="00EF70E1">
        <w:rPr>
          <w:rFonts w:ascii="Gambria" w:hAnsi="Gambria"/>
          <w:sz w:val="22"/>
          <w:szCs w:val="22"/>
        </w:rPr>
        <w:t>Podľa zákona č. 222/2004 Z. z. o dani z pridanej hodnoty v znení neskorších predpisov sú poisťovacie služby od DPH oslobodené.</w:t>
      </w:r>
    </w:p>
    <w:p w14:paraId="4543EAE9" w14:textId="77777777" w:rsidR="00A1602B" w:rsidRPr="00EF70E1" w:rsidRDefault="00A1602B" w:rsidP="00A1602B">
      <w:pPr>
        <w:pStyle w:val="ListParagraph"/>
        <w:widowControl/>
        <w:numPr>
          <w:ilvl w:val="0"/>
          <w:numId w:val="13"/>
        </w:numPr>
        <w:autoSpaceDE/>
        <w:autoSpaceDN/>
        <w:adjustRightInd/>
        <w:ind w:left="567" w:hanging="567"/>
        <w:rPr>
          <w:rFonts w:ascii="Gambria" w:hAnsi="Gambria"/>
          <w:sz w:val="22"/>
          <w:szCs w:val="22"/>
        </w:rPr>
      </w:pPr>
      <w:r>
        <w:rPr>
          <w:rFonts w:ascii="Gambria" w:hAnsi="Gambria"/>
          <w:sz w:val="22"/>
          <w:szCs w:val="22"/>
        </w:rPr>
        <w:t>Poistné za predmet poistenia a všetky riziká je uvedené v prílohe č. 1 tejto rámcovej dohody</w:t>
      </w:r>
      <w:r w:rsidRPr="00EE49C9">
        <w:rPr>
          <w:rFonts w:ascii="Gambria" w:hAnsi="Gambria"/>
          <w:bCs/>
          <w:sz w:val="22"/>
          <w:szCs w:val="22"/>
        </w:rPr>
        <w:t>.</w:t>
      </w:r>
    </w:p>
    <w:p w14:paraId="5997C80E"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Ročné poistné za poistené predmety a jednotlivé riziká bude uvedené v poistnej zmluve.</w:t>
      </w:r>
    </w:p>
    <w:p w14:paraId="2EE2B201"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 xml:space="preserve">Ročné poistné bude hradené </w:t>
      </w:r>
      <w:r>
        <w:rPr>
          <w:rFonts w:ascii="Gambria" w:hAnsi="Gambria"/>
          <w:bCs/>
          <w:sz w:val="22"/>
          <w:szCs w:val="22"/>
        </w:rPr>
        <w:t>ročne</w:t>
      </w:r>
      <w:r w:rsidRPr="00EF70E1">
        <w:rPr>
          <w:rFonts w:ascii="Gambria" w:hAnsi="Gambria"/>
          <w:bCs/>
          <w:sz w:val="22"/>
          <w:szCs w:val="22"/>
        </w:rPr>
        <w:t xml:space="preserve"> na základe predpisu poistného (avíza o poistení) </w:t>
      </w:r>
      <w:r>
        <w:rPr>
          <w:rFonts w:ascii="Gambria" w:hAnsi="Gambria"/>
          <w:bCs/>
          <w:sz w:val="22"/>
          <w:szCs w:val="22"/>
        </w:rPr>
        <w:t>doručeného poistníkovi na začiatku poistného obdobia</w:t>
      </w:r>
      <w:r w:rsidRPr="00EF70E1">
        <w:rPr>
          <w:rFonts w:ascii="Gambria" w:hAnsi="Gambria"/>
          <w:bCs/>
          <w:sz w:val="22"/>
          <w:szCs w:val="22"/>
        </w:rPr>
        <w:t xml:space="preserve">. </w:t>
      </w:r>
      <w:bookmarkStart w:id="4" w:name="_Hlk44933172"/>
      <w:r w:rsidRPr="00EF70E1">
        <w:rPr>
          <w:rFonts w:ascii="Gambria" w:hAnsi="Gambria"/>
          <w:bCs/>
          <w:sz w:val="22"/>
          <w:szCs w:val="22"/>
        </w:rPr>
        <w:t>Dátum splatnosti predpisu poistného je 30 dní od dátumu doručenia predpisu  poistníkovi</w:t>
      </w:r>
      <w:bookmarkEnd w:id="4"/>
      <w:r w:rsidRPr="00EF70E1">
        <w:rPr>
          <w:rFonts w:ascii="Gambria" w:hAnsi="Gambria"/>
          <w:bCs/>
          <w:sz w:val="22"/>
          <w:szCs w:val="22"/>
        </w:rPr>
        <w:t xml:space="preserve">. </w:t>
      </w:r>
    </w:p>
    <w:p w14:paraId="49D39FF0" w14:textId="77777777" w:rsidR="00A1602B" w:rsidRPr="00EF70E1" w:rsidRDefault="00A1602B" w:rsidP="00A1602B">
      <w:pPr>
        <w:pStyle w:val="BodyText"/>
        <w:numPr>
          <w:ilvl w:val="0"/>
          <w:numId w:val="13"/>
        </w:numPr>
        <w:spacing w:line="259" w:lineRule="auto"/>
        <w:ind w:left="567" w:hanging="567"/>
        <w:rPr>
          <w:rFonts w:ascii="Gambria" w:hAnsi="Gambria"/>
          <w:sz w:val="22"/>
          <w:szCs w:val="22"/>
        </w:rPr>
      </w:pPr>
      <w:r w:rsidRPr="00EF70E1">
        <w:rPr>
          <w:rFonts w:ascii="Gambria" w:hAnsi="Gambria"/>
          <w:sz w:val="22"/>
          <w:szCs w:val="22"/>
        </w:rPr>
        <w:t>Pre tento účel sa za deň splnenia peňažného záväzku, úhrada poistné v zmysle poistnej zmluvy,  považuje deň odpísania splatnej dlžnej sumy z účtu poisteného na účet poistiteľa.</w:t>
      </w:r>
    </w:p>
    <w:p w14:paraId="56AB9047"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Ročné sadzby sú uvedené v Prílohe č. 1 a sú záväzné počas celej doby trvania tejto rámcovej dohody. Výška spoluúčasti uvedená v Prílohe č. 1 je stanovená pevne a nie je možné ju meniť.</w:t>
      </w:r>
    </w:p>
    <w:p w14:paraId="0ECAE8AF"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V prípade, že predpis poistného nebude po vecnej a formálne stránke správne vyhotovený alebo bude obsahovať nesprávne údaje, poistník ho vráti na prepracovanie (opravu) alebo doplnenie s uvedením nedostatkov, ktoré sa majú odstrániť a pre ktoré bol vrátený, nová lehota splatnosti začne plynúť dňom doručenia doplneného alebo správne prepracovaného (opraveného) predpisu poistného poistn</w:t>
      </w:r>
      <w:r w:rsidRPr="00EF70E1">
        <w:rPr>
          <w:rFonts w:ascii="Gambria" w:hAnsi="Gambria" w:hint="eastAsia"/>
          <w:bCs/>
          <w:sz w:val="22"/>
          <w:szCs w:val="22"/>
        </w:rPr>
        <w:t>í</w:t>
      </w:r>
      <w:r w:rsidRPr="00EF70E1">
        <w:rPr>
          <w:rFonts w:ascii="Gambria" w:hAnsi="Gambria"/>
          <w:bCs/>
          <w:sz w:val="22"/>
          <w:szCs w:val="22"/>
        </w:rPr>
        <w:t>kovi.</w:t>
      </w:r>
    </w:p>
    <w:p w14:paraId="194D42D7" w14:textId="77777777" w:rsidR="00A1602B" w:rsidRPr="00EF70E1" w:rsidRDefault="00A1602B" w:rsidP="00A1602B">
      <w:pPr>
        <w:pStyle w:val="ListParagraph"/>
        <w:spacing w:line="259" w:lineRule="auto"/>
        <w:ind w:left="567" w:hanging="567"/>
        <w:rPr>
          <w:rFonts w:ascii="Gambria" w:hAnsi="Gambria"/>
          <w:bCs/>
          <w:sz w:val="22"/>
          <w:szCs w:val="22"/>
        </w:rPr>
      </w:pPr>
    </w:p>
    <w:p w14:paraId="4409ED99"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VI.</w:t>
      </w:r>
    </w:p>
    <w:p w14:paraId="4BECE8F6"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Trvanie rámcovej dohody</w:t>
      </w:r>
    </w:p>
    <w:p w14:paraId="5AB21229" w14:textId="77777777" w:rsidR="00A1602B" w:rsidRPr="00EF70E1" w:rsidRDefault="00A1602B" w:rsidP="00A1602B">
      <w:pPr>
        <w:keepNext/>
        <w:spacing w:line="259" w:lineRule="auto"/>
        <w:ind w:left="567" w:hanging="567"/>
        <w:jc w:val="center"/>
        <w:rPr>
          <w:rFonts w:ascii="Gambria" w:hAnsi="Gambria"/>
          <w:b/>
          <w:bCs/>
          <w:sz w:val="22"/>
          <w:szCs w:val="22"/>
        </w:rPr>
      </w:pPr>
    </w:p>
    <w:p w14:paraId="7C6FA534" w14:textId="77777777" w:rsidR="00A1602B" w:rsidRPr="00EF70E1" w:rsidRDefault="00A1602B" w:rsidP="00A1602B">
      <w:pPr>
        <w:keepNext/>
        <w:spacing w:line="259" w:lineRule="auto"/>
        <w:ind w:left="567" w:hanging="567"/>
        <w:rPr>
          <w:rFonts w:ascii="Gambria" w:hAnsi="Gambria"/>
          <w:b/>
          <w:bCs/>
          <w:sz w:val="22"/>
          <w:szCs w:val="22"/>
          <w:u w:val="single"/>
        </w:rPr>
      </w:pPr>
    </w:p>
    <w:p w14:paraId="6221B4D3" w14:textId="77777777" w:rsidR="00A1602B" w:rsidRPr="00EF70E1" w:rsidRDefault="00A1602B" w:rsidP="00A1602B">
      <w:pPr>
        <w:pStyle w:val="ListParagraph"/>
        <w:keepNext/>
        <w:widowControl/>
        <w:numPr>
          <w:ilvl w:val="0"/>
          <w:numId w:val="2"/>
        </w:numPr>
        <w:autoSpaceDE/>
        <w:autoSpaceDN/>
        <w:adjustRightInd/>
        <w:spacing w:line="259" w:lineRule="auto"/>
        <w:ind w:left="567" w:hanging="567"/>
        <w:contextualSpacing/>
        <w:rPr>
          <w:rFonts w:ascii="Gambria" w:hAnsi="Gambria"/>
          <w:b/>
          <w:bCs/>
          <w:iCs/>
          <w:sz w:val="22"/>
          <w:szCs w:val="22"/>
        </w:rPr>
      </w:pPr>
      <w:r w:rsidRPr="00EF70E1">
        <w:rPr>
          <w:rFonts w:ascii="Gambria" w:hAnsi="Gambria"/>
          <w:sz w:val="22"/>
          <w:szCs w:val="22"/>
        </w:rPr>
        <w:t xml:space="preserve">Táto  rámcová dohoda sa uzatvára na dobu určitú, na obdobie 36 mesiacov, odo dňa nadobudnutia účinnosti rámcovej dohody alebo do vyčerpania finančného limitu </w:t>
      </w:r>
      <w:r>
        <w:rPr>
          <w:rFonts w:ascii="Gambria" w:hAnsi="Gambria"/>
          <w:sz w:val="22"/>
          <w:szCs w:val="22"/>
        </w:rPr>
        <w:t>poistného vo výške  320.000,- EUR podľa toho ktorá z týchto skutočností nastane skôr</w:t>
      </w:r>
      <w:r w:rsidRPr="00EF70E1">
        <w:rPr>
          <w:rFonts w:ascii="Gambria" w:hAnsi="Gambria"/>
          <w:sz w:val="22"/>
          <w:szCs w:val="22"/>
        </w:rPr>
        <w:t xml:space="preserve">. </w:t>
      </w:r>
    </w:p>
    <w:p w14:paraId="4222E316" w14:textId="77777777" w:rsidR="00A1602B" w:rsidRPr="00EF70E1"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 xml:space="preserve">Poistným obdobím je jeden kalendárny rok. </w:t>
      </w:r>
    </w:p>
    <w:p w14:paraId="4F6E9410" w14:textId="77777777" w:rsidR="00A1602B"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Túto rámcovou dohodou možno ukončiť:</w:t>
      </w:r>
    </w:p>
    <w:p w14:paraId="6033182E" w14:textId="77777777" w:rsidR="00A1602B" w:rsidRPr="003A201F" w:rsidRDefault="00A1602B" w:rsidP="00A1602B">
      <w:pPr>
        <w:pStyle w:val="ListParagraph"/>
        <w:numPr>
          <w:ilvl w:val="1"/>
          <w:numId w:val="2"/>
        </w:numPr>
        <w:tabs>
          <w:tab w:val="left" w:pos="567"/>
        </w:tabs>
        <w:spacing w:line="259" w:lineRule="auto"/>
        <w:rPr>
          <w:rFonts w:ascii="Gambria" w:hAnsi="Gambria"/>
          <w:sz w:val="22"/>
          <w:szCs w:val="22"/>
        </w:rPr>
      </w:pPr>
      <w:r w:rsidRPr="003A201F">
        <w:rPr>
          <w:rFonts w:ascii="Gambria" w:hAnsi="Gambria"/>
          <w:sz w:val="22"/>
          <w:szCs w:val="22"/>
        </w:rPr>
        <w:lastRenderedPageBreak/>
        <w:t>písomnou dohodou zmluvných strán,</w:t>
      </w:r>
    </w:p>
    <w:p w14:paraId="23338BE8" w14:textId="77777777" w:rsidR="00A1602B" w:rsidRDefault="00A1602B" w:rsidP="00A1602B">
      <w:pPr>
        <w:pStyle w:val="ListParagraph"/>
        <w:numPr>
          <w:ilvl w:val="1"/>
          <w:numId w:val="2"/>
        </w:numPr>
        <w:tabs>
          <w:tab w:val="left" w:pos="567"/>
        </w:tabs>
        <w:spacing w:line="259" w:lineRule="auto"/>
        <w:rPr>
          <w:rFonts w:ascii="Gambria" w:hAnsi="Gambria"/>
          <w:sz w:val="22"/>
          <w:szCs w:val="22"/>
        </w:rPr>
      </w:pPr>
      <w:r w:rsidRPr="00EF70E1">
        <w:rPr>
          <w:rFonts w:ascii="Gambria" w:hAnsi="Gambria"/>
          <w:sz w:val="22"/>
          <w:szCs w:val="22"/>
        </w:rPr>
        <w:t xml:space="preserve">poistenie dojednané v jednotlivých poistných zmluvách uzatvorených na základe tejto rámcovej dohody zaniká v súlade s ustanoveniami § 800 a </w:t>
      </w:r>
      <w:proofErr w:type="spellStart"/>
      <w:r w:rsidRPr="00EF70E1">
        <w:rPr>
          <w:rFonts w:ascii="Gambria" w:hAnsi="Gambria"/>
          <w:sz w:val="22"/>
          <w:szCs w:val="22"/>
        </w:rPr>
        <w:t>nasl</w:t>
      </w:r>
      <w:proofErr w:type="spellEnd"/>
      <w:r w:rsidRPr="00EF70E1">
        <w:rPr>
          <w:rFonts w:ascii="Gambria" w:hAnsi="Gambria"/>
          <w:sz w:val="22"/>
          <w:szCs w:val="22"/>
        </w:rPr>
        <w:t xml:space="preserve">. Občianskeho zákonníka. </w:t>
      </w:r>
    </w:p>
    <w:p w14:paraId="0B8B0C0A" w14:textId="77777777" w:rsidR="00A1602B" w:rsidRPr="00EF70E1" w:rsidRDefault="00A1602B" w:rsidP="00A1602B">
      <w:pPr>
        <w:pStyle w:val="ListParagraph"/>
        <w:numPr>
          <w:ilvl w:val="1"/>
          <w:numId w:val="2"/>
        </w:numPr>
        <w:tabs>
          <w:tab w:val="left" w:pos="567"/>
        </w:tabs>
        <w:spacing w:line="259" w:lineRule="auto"/>
        <w:rPr>
          <w:rFonts w:ascii="Gambria" w:hAnsi="Gambria"/>
          <w:sz w:val="22"/>
          <w:szCs w:val="22"/>
        </w:rPr>
      </w:pPr>
      <w:r w:rsidRPr="00EF70E1">
        <w:rPr>
          <w:rFonts w:ascii="Gambria" w:hAnsi="Gambria"/>
          <w:sz w:val="22"/>
          <w:szCs w:val="22"/>
        </w:rPr>
        <w:t>písomným odstúpením od rámcovej dohody v zmysle zákonných ustanovení alebo ustanovení tejto rámcovej dohody.</w:t>
      </w:r>
    </w:p>
    <w:p w14:paraId="70599D6B" w14:textId="77777777" w:rsidR="00A1602B" w:rsidRPr="00EF70E1"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Túto rámcovú dohodu alebo poistnú zmluvu uzatvorenú na základe tejto rámcovej dohody je možné ukončiť odstúpením poistníka v súlade s § 19 zákona o verejnom obstarávaní.</w:t>
      </w:r>
    </w:p>
    <w:p w14:paraId="38F8FE25"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Zmluvné strany sa dohodli, že v prípade podstatného porušenia zmluvných povinností jednou zmluvnou stranou, druhá zmluvná strana má právo okamžite odstúpiť od tejto rámcovej dohody alebo poistnej zmluvy uzatvorenej na základe tejto rámcovej dohody. Odstúpenie od rámcovej dohody alebo poistnej zmluvy uzatvorenej na základe tejto rámcovej dohody musí byť druhej zmluvnej strane oznámené písomne a doručené druhej zmluvnej strane.</w:t>
      </w:r>
    </w:p>
    <w:p w14:paraId="433A970D"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Za podstatné porušenie rámcovej dohody alebo poistnej zmluvy uzatvorenej na základe tejto rámcovej dohody sa považujú:</w:t>
      </w:r>
    </w:p>
    <w:p w14:paraId="39C19DBF"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strata nevyhnutnej kvalifikácie poistiteľa, vrátane, ale nielen, strata oprávnenia na vykonávanie činností, ktorá bezprostredne súvisí s predmetom tejto rámcovej dohody,</w:t>
      </w:r>
    </w:p>
    <w:p w14:paraId="53CD81ED" w14:textId="77777777" w:rsidR="00A1602B" w:rsidRPr="00EF70E1" w:rsidRDefault="00A1602B" w:rsidP="00A1602B">
      <w:pPr>
        <w:pStyle w:val="ListParagraph"/>
        <w:numPr>
          <w:ilvl w:val="1"/>
          <w:numId w:val="2"/>
        </w:numPr>
        <w:tabs>
          <w:tab w:val="left" w:pos="567"/>
        </w:tabs>
        <w:spacing w:line="259" w:lineRule="auto"/>
        <w:ind w:left="567" w:hanging="567"/>
        <w:rPr>
          <w:rFonts w:ascii="Gambria" w:hAnsi="Gambria"/>
          <w:sz w:val="22"/>
          <w:szCs w:val="22"/>
        </w:rPr>
      </w:pPr>
      <w:r w:rsidRPr="00EF70E1">
        <w:rPr>
          <w:rFonts w:ascii="Gambria" w:hAnsi="Gambria"/>
          <w:sz w:val="22"/>
          <w:szCs w:val="22"/>
        </w:rPr>
        <w:t>poskytnutie plnenia v rozpore s čl. II tejto rámcovej dohody,</w:t>
      </w:r>
    </w:p>
    <w:p w14:paraId="0DFE3D43"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poistiteľ použije subdodávateľa na poskytnutie predmetu rámcovej dohody alebo jeho časti v rozpore s touto rámcovou dohodou a zákonom o verejnom obstarávaní,</w:t>
      </w:r>
    </w:p>
    <w:p w14:paraId="6D80F6D9"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poistiteľ poruší záväzok mlčanlivosti podľa tejto rámcovej dohody</w:t>
      </w:r>
    </w:p>
    <w:p w14:paraId="078AD5ED"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omeškanie poistníka s plnením finančných záväzkov vyplývajúcich z tejto rámcovej dohody trvajúce dlhší čas ako 90 dní, alebo</w:t>
      </w:r>
    </w:p>
    <w:p w14:paraId="743D9892"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tak ustanovuje osobitný zákon.</w:t>
      </w:r>
    </w:p>
    <w:p w14:paraId="7A131112"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Za nepodstatné porušenie tejto rámcovej dohody alebo poistnej zmluvy uzatvorenej na základe tejto rámcovej dohody sa považuje každé porušenie rámcovej dohody alebo čiastkovej zmluvy uzatvorenej na základe tejto rámcovej dohody, okrem porušení definovaných v tejto rámcovej dohode ako podstatné porušenie tejto rámcovej dohody alebo poistnej zmluvy uzatvorenej na základe tejto rámcovej dohody. V prípade nepodstatného porušenia tejto rámcovej dohody alebo poistnej zmluvy uzatvorenej na základe tejto rámcovej dohody je druhá zmluvná strana oprávnená odstúpiť od tejto rámcovej dohody alebo  poistnej zmluvy uzatvorenej na základe tejto rámcovej dohody len v prípade, že zmluvná strana, ktorá je v omeškaní, nesplní svoju zmluvnú povinnosť ani napriek písomnému upozorneniu a poskytnutiu primeranej dodatočnej lehoty, ktorá jej bola na to poskytnutá. V písomnom upozornení musí byť podrobne špecifikované porušenie zmluvnej povinnosti ako aj upozornenie na právo odstúpiť od tejto rámcovej dohody alebo poistnej zmluvy uzatvorenej na základe tejto rámcovej dohody v prípade neodstránenia porušenia ani v dodatočnej lehote. V prípade neodstránenia porušenia ani v dodatočnej lehote má zmluvná strana právo odstúpiť od tejto rámcovej dohody alebo poistnej zmluvy uzatvorenej na základe tejto rámcovej dohody doručením písomného oznámenia o odstúpení od rámcovej dohody alebo poistnej zmluvy uzatvorenej na základe tejto rámcovej dohody druhej zmluvnej strane.</w:t>
      </w:r>
    </w:p>
    <w:p w14:paraId="4882DF71"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 xml:space="preserve">Odstúpenie zmluvnej strany od tejto rámcovej dohody musí mať písomnú formu, musí byť doručené druhej zmluvnej strane a musí v ňom byť uvedený konkrétny dôvod odstúpenia, inak je neplatné. </w:t>
      </w:r>
    </w:p>
    <w:p w14:paraId="5FC2CE49"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4F70B75C"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lastRenderedPageBreak/>
        <w:t>Odstúpenie od rámcovej dohody alebo jej ukončenie z iného dôvodu sa nedotýka práva na uplatnenie nárokov vyplývajúcich z porušenia rámcovej dohody, vrátane oprávnenia na náhradu škody, riešenia sporov medzi zmluvnými stranami a ostatných ustanovení, ktoré podľa rámcovej dohody alebo vzhľadom na svoju povahu majú trvať aj po ukončení rámcovej dohody. Ustanovenia vzťahujúce sa k usporiadaniu vzájomných právnych vzťahov na základe tejto rámcovej dohody zostávajú v platnosti do momentu ich usporiadania.</w:t>
      </w:r>
    </w:p>
    <w:p w14:paraId="32373364"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Túto rámcovú dohodu  je možné ukončiť tiež výpoveďou poistníka bez udania dôvodu s trojmesačnou výpovednou lehotou, ktorá začína plynúť prvým dňom nasledujúcim po dni doručenia písomnej výpovede poistiteľovi. V tomto prípade je poistiteľ poistníkovi povinný po dobu troch mesiacov od doručenia písomnej výpovede plniť záväzky plynúce z tejto rámcovej dohody. V prípade porušenia tejto povinnosti je poistiteľ povinný nahradiť škody, ktoré by poistníkovi vznikli neplnením povinností vyplývajúcich z tejto rámcovej dohody,</w:t>
      </w:r>
    </w:p>
    <w:p w14:paraId="0ABB5D8C"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Poistnú zmluvu uzatvorenú na základe tejto rámcovej dohody je možné ukončiť tiež výpoveďou poistníka bez uvedenia dôvodu ku koncu poistného obdobia. Poistník musí v takomto prípade doručiť výpoveď poistiteľovi aspoň šesť týždňov pred uplynutím poistného obdobia.</w:t>
      </w:r>
    </w:p>
    <w:p w14:paraId="51006BA5" w14:textId="77777777" w:rsidR="00A1602B" w:rsidRPr="00EF70E1" w:rsidRDefault="00A1602B" w:rsidP="00A1602B">
      <w:pPr>
        <w:pStyle w:val="ListParagraph"/>
        <w:ind w:left="567" w:hanging="567"/>
        <w:rPr>
          <w:rFonts w:ascii="Gambria" w:hAnsi="Gambria"/>
          <w:sz w:val="22"/>
          <w:szCs w:val="22"/>
        </w:rPr>
      </w:pPr>
    </w:p>
    <w:p w14:paraId="182E8417"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VII.</w:t>
      </w:r>
    </w:p>
    <w:p w14:paraId="4B8E3674" w14:textId="77777777" w:rsidR="00A1602B" w:rsidRPr="00EF70E1" w:rsidRDefault="00A1602B" w:rsidP="00A1602B">
      <w:pPr>
        <w:pStyle w:val="BodyText"/>
        <w:spacing w:line="259" w:lineRule="auto"/>
        <w:ind w:left="567" w:hanging="567"/>
        <w:jc w:val="center"/>
        <w:rPr>
          <w:rFonts w:ascii="Gambria" w:hAnsi="Gambria"/>
          <w:b/>
          <w:sz w:val="22"/>
          <w:szCs w:val="22"/>
          <w:u w:val="single"/>
        </w:rPr>
      </w:pPr>
      <w:r w:rsidRPr="00EF70E1">
        <w:rPr>
          <w:rFonts w:ascii="Gambria" w:hAnsi="Gambria"/>
          <w:b/>
          <w:sz w:val="22"/>
          <w:szCs w:val="22"/>
          <w:u w:val="single"/>
        </w:rPr>
        <w:t>Ostatné ustanovenia</w:t>
      </w:r>
    </w:p>
    <w:p w14:paraId="29CBE0A6" w14:textId="77777777" w:rsidR="00A1602B" w:rsidRPr="00EF70E1" w:rsidRDefault="00A1602B" w:rsidP="00A1602B">
      <w:pPr>
        <w:pStyle w:val="ListParagraph"/>
        <w:ind w:left="567" w:hanging="567"/>
        <w:rPr>
          <w:rFonts w:ascii="Gambria" w:hAnsi="Gambria"/>
          <w:sz w:val="22"/>
          <w:szCs w:val="22"/>
        </w:rPr>
      </w:pPr>
    </w:p>
    <w:p w14:paraId="0D761859"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Poistník i poistiteľ sa zaväzujú, že všetky údaje o druhej zmluvnej strane a o jej činnosti v súvislosti s rámcovou dohodou a jej plnením, o ktorých sa táto dozvedela akýmkoľvek spôsobom, bude považovať za dôvernú informáciu, ktoré neposkytne tretej strane a nepoužije ich na iný účel ako na plnenie tejto rámcovej dohody. </w:t>
      </w:r>
    </w:p>
    <w:p w14:paraId="0690D239"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Povinnosť mlčanlivosti sa nevzťahuje na informácie a skutočnosti, ktoré: </w:t>
      </w:r>
    </w:p>
    <w:p w14:paraId="7CDD778C"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sú verejne prístupné alebo ktoré sa bez zavinenia zmluvnej strany, ktorá tieto získala stanú verejne prístupnými, alebo </w:t>
      </w:r>
    </w:p>
    <w:p w14:paraId="57402175"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boli preukázateľne poistníkovi alebo poistiteľovi dostupné alebo známe už pred nadobudnutím platnosti tejto dohody a neboli predmetom žiadneho záväzku mlčanlivosti, alebo </w:t>
      </w:r>
    </w:p>
    <w:p w14:paraId="5250590C"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sa poistník alebo poistiteľ dozvedel z tretej strany, ktorá nie je povinná zachovať mlčanlivosť voči druhej zmluvnej strane, alebo </w:t>
      </w:r>
    </w:p>
    <w:p w14:paraId="6F750F80"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sa majú sprístupniť a poskytnúť v zmysle všeobecne platných právnych predpisov alebo vyžiadania oprávnených orgánov v rozsahu určenom platnými všeobecne záväznými právnymi predpismi. </w:t>
      </w:r>
    </w:p>
    <w:p w14:paraId="78E0A226"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Ukončenie tejto rámcovej dohody z akéhokoľvek dôvodu nemá vplyv na vyššie uvedené povinnosti uchovania dôverných informácií, ktorá zostáva v platnosti aj pre prípad ukončenia platnosti a účinnosti tejto rámcovej dohody z akéhokoľvek dôvodu. </w:t>
      </w:r>
    </w:p>
    <w:p w14:paraId="5CB9875C"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Poistiteľ je povinný zabezpečiť, aby on sám ako aj jeho subdodávatelia v zmysle § 2 ods. 5 písm. e) zákona č. 343/2015 Z. z. o verejnom obstarávaní a o zmene a doplnení niektorých zákonov v znení neskorších predpisov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48AC27E"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Za účelom preukázania splnenia povinnosti v zmysle prechádzajúceho bodu tohto článku zmluvy je poistiteľ povinný kedykoľvek na výzvu poistníka bezodkladne, najneskôr však do 3 pracovných dní, predložiť poistníkovi všetky zmluvy so subdodávateľmi identifikovanými v prílohe č. 4  zmluvy, resp. následne doplneným/ zmeneným postupom podľa </w:t>
      </w:r>
      <w:r>
        <w:rPr>
          <w:rFonts w:ascii="Gambria" w:hAnsi="Gambria"/>
          <w:sz w:val="22"/>
          <w:szCs w:val="22"/>
        </w:rPr>
        <w:t xml:space="preserve">čl. VIII. </w:t>
      </w:r>
      <w:r w:rsidRPr="00EF70E1">
        <w:rPr>
          <w:rFonts w:ascii="Gambria" w:hAnsi="Gambria"/>
          <w:sz w:val="22"/>
          <w:szCs w:val="22"/>
        </w:rPr>
        <w:t xml:space="preserve">bodu </w:t>
      </w:r>
      <w:r>
        <w:rPr>
          <w:rFonts w:ascii="Gambria" w:hAnsi="Gambria"/>
          <w:sz w:val="22"/>
          <w:szCs w:val="22"/>
        </w:rPr>
        <w:t>8 tejto rámcovej dohody</w:t>
      </w:r>
      <w:r w:rsidRPr="00EF70E1">
        <w:rPr>
          <w:rFonts w:ascii="Gambria" w:hAnsi="Gambria"/>
          <w:sz w:val="22"/>
          <w:szCs w:val="22"/>
        </w:rPr>
        <w:t xml:space="preserve"> a zároveň predložiť zoznam všetkých subdodávateľov v zmysle § 2 ods. 1 písm. a) bod 7 zákona č. 315/2016 Z. z., ktorí napĺňajú definičné znaky partnera verejného sektora v zmysle § 2 ods. 1 písm. a) bod 7 a § 2 ods. 2 zákona č. 315/2016 Z. z., v </w:t>
      </w:r>
      <w:r w:rsidRPr="00EF70E1">
        <w:rPr>
          <w:rFonts w:ascii="Gambria" w:hAnsi="Gambria"/>
          <w:sz w:val="22"/>
          <w:szCs w:val="22"/>
        </w:rPr>
        <w:lastRenderedPageBreak/>
        <w:t>dôsledku ich participácie na plnení tejto zmluvy. Za úplnosť a pravdivosť poskytnutých údajov nesie plnú zodpovednosť poistiteľ.</w:t>
      </w:r>
    </w:p>
    <w:p w14:paraId="6A542F17" w14:textId="77777777" w:rsidR="00A1602B" w:rsidRPr="004370DD" w:rsidRDefault="00A1602B" w:rsidP="00A1602B">
      <w:pPr>
        <w:pStyle w:val="ListParagraph"/>
        <w:numPr>
          <w:ilvl w:val="0"/>
          <w:numId w:val="35"/>
        </w:numPr>
        <w:ind w:left="567" w:hanging="567"/>
        <w:rPr>
          <w:rFonts w:ascii="Gambria" w:hAnsi="Gambria"/>
          <w:sz w:val="22"/>
          <w:szCs w:val="22"/>
        </w:rPr>
      </w:pPr>
      <w:r w:rsidRPr="004370DD">
        <w:rPr>
          <w:rFonts w:ascii="Gambria" w:hAnsi="Gambria"/>
          <w:sz w:val="22"/>
          <w:szCs w:val="22"/>
        </w:rPr>
        <w:t xml:space="preserve">Poistiteľ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w:t>
      </w:r>
    </w:p>
    <w:p w14:paraId="3A9F84F6" w14:textId="77777777" w:rsidR="00A1602B" w:rsidRPr="004370DD" w:rsidRDefault="00A1602B" w:rsidP="00A1602B">
      <w:pPr>
        <w:pStyle w:val="ListParagraph"/>
        <w:numPr>
          <w:ilvl w:val="0"/>
          <w:numId w:val="35"/>
        </w:numPr>
        <w:ind w:left="567" w:hanging="567"/>
        <w:rPr>
          <w:rFonts w:ascii="Gambria" w:hAnsi="Gambria"/>
          <w:sz w:val="22"/>
          <w:szCs w:val="22"/>
        </w:rPr>
      </w:pPr>
      <w:r w:rsidRPr="004370DD">
        <w:rPr>
          <w:rFonts w:ascii="Gambria" w:hAnsi="Gambria"/>
          <w:sz w:val="22"/>
          <w:szCs w:val="22"/>
        </w:rPr>
        <w:t>Poistník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poistníka.</w:t>
      </w:r>
    </w:p>
    <w:p w14:paraId="14BC91A9" w14:textId="77777777" w:rsidR="00A1602B" w:rsidRPr="00EF70E1" w:rsidRDefault="00A1602B" w:rsidP="00A1602B">
      <w:pPr>
        <w:spacing w:line="259" w:lineRule="auto"/>
        <w:ind w:left="567" w:hanging="567"/>
        <w:rPr>
          <w:rFonts w:ascii="Gambria" w:hAnsi="Gambria"/>
          <w:iCs/>
          <w:sz w:val="22"/>
          <w:szCs w:val="22"/>
        </w:rPr>
      </w:pPr>
    </w:p>
    <w:p w14:paraId="212CAE07" w14:textId="77777777" w:rsidR="00A1602B" w:rsidRPr="00EF70E1" w:rsidRDefault="00A1602B" w:rsidP="00A1602B">
      <w:pPr>
        <w:spacing w:line="259" w:lineRule="auto"/>
        <w:ind w:left="567" w:hanging="567"/>
        <w:jc w:val="center"/>
        <w:rPr>
          <w:rFonts w:ascii="Gambria" w:hAnsi="Gambria"/>
          <w:b/>
          <w:bCs/>
          <w:sz w:val="22"/>
          <w:szCs w:val="22"/>
          <w:u w:val="single"/>
        </w:rPr>
      </w:pPr>
    </w:p>
    <w:p w14:paraId="4A1D0DC5"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VII</w:t>
      </w:r>
      <w:r>
        <w:rPr>
          <w:rFonts w:ascii="Gambria" w:hAnsi="Gambria"/>
          <w:b/>
          <w:bCs/>
          <w:sz w:val="22"/>
          <w:szCs w:val="22"/>
          <w:u w:val="single"/>
        </w:rPr>
        <w:t>I</w:t>
      </w:r>
      <w:r w:rsidRPr="00EF70E1">
        <w:rPr>
          <w:rFonts w:ascii="Gambria" w:hAnsi="Gambria"/>
          <w:b/>
          <w:bCs/>
          <w:sz w:val="22"/>
          <w:szCs w:val="22"/>
          <w:u w:val="single"/>
        </w:rPr>
        <w:t>.</w:t>
      </w:r>
    </w:p>
    <w:p w14:paraId="57A6267E" w14:textId="77777777" w:rsidR="00A1602B" w:rsidRPr="00EF70E1" w:rsidRDefault="00A1602B" w:rsidP="00A1602B">
      <w:pPr>
        <w:pStyle w:val="BodyText"/>
        <w:spacing w:line="259" w:lineRule="auto"/>
        <w:ind w:left="567" w:hanging="567"/>
        <w:jc w:val="center"/>
        <w:rPr>
          <w:rFonts w:ascii="Gambria" w:hAnsi="Gambria"/>
          <w:b/>
          <w:sz w:val="22"/>
          <w:szCs w:val="22"/>
          <w:u w:val="single"/>
        </w:rPr>
      </w:pPr>
      <w:r w:rsidRPr="00EF70E1">
        <w:rPr>
          <w:rFonts w:ascii="Gambria" w:hAnsi="Gambria"/>
          <w:b/>
          <w:sz w:val="22"/>
          <w:szCs w:val="22"/>
          <w:u w:val="single"/>
        </w:rPr>
        <w:t>Záverečné ustanovenia</w:t>
      </w:r>
    </w:p>
    <w:p w14:paraId="1C1F8724" w14:textId="77777777" w:rsidR="00A1602B" w:rsidRPr="00EF70E1" w:rsidRDefault="00A1602B" w:rsidP="00A1602B">
      <w:pPr>
        <w:pStyle w:val="BodyText"/>
        <w:spacing w:line="259" w:lineRule="auto"/>
        <w:ind w:left="567" w:hanging="567"/>
        <w:jc w:val="center"/>
        <w:rPr>
          <w:rFonts w:ascii="Gambria" w:hAnsi="Gambria"/>
          <w:b/>
          <w:sz w:val="22"/>
          <w:szCs w:val="22"/>
        </w:rPr>
      </w:pPr>
    </w:p>
    <w:p w14:paraId="009041FB"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Zmluvné strany sa zaväzujú, že si budú poskytovať súčinnosť v akejkoľvek forme, urobia všetky potrebné úkony a budú postupovať tak, aby neboli porušené alebo ohrozené práva druhého účastníka tejto rámcovej dohody.</w:t>
      </w:r>
    </w:p>
    <w:p w14:paraId="393FDBC1"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 Akékoľvek zmeny tejto rámcovej dohody vyžadujú písomnú formu a súhlas zmluvných strán. Táto rámcová dohoda môže byť menená v súlade s príslušnými ustanoveniami zákona o verejnom obstarávaní len formou písomných a očíslovaných dodatkov, ktoré budú schválené a podpísané oprávnenými zástupcami oboch zmluvných strán.</w:t>
      </w:r>
    </w:p>
    <w:p w14:paraId="61DE3CF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Zmluvné strany sa dohodli, že písomná korešpondencia bude doručovaná na adresy uvedené v záhlaví tejto rámcovej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rámcovej dohody, resp. na inú adresu písomne oznámenú druhej zmluvnej strane. Akákoľvek písomnosť podľa tejto rámcovej dohody bude považovaná za riadne doručenú aj vtedy, ak ju adresát odmietne prevziať. </w:t>
      </w:r>
    </w:p>
    <w:p w14:paraId="25D61B2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Tento záväzkový vzťah sa spravuje Občianskym zákonníkom a ostatnými príslušnými všeobecne záväznými právnymi predpismi platnými v Slovenskej republike. Vo veciach neupravených touto rámcovou dohodou sa zmluvný vzťah spravuje príslušnými ustanoveniami právnych predpisov. </w:t>
      </w:r>
    </w:p>
    <w:p w14:paraId="21DCD3A8"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Zmluvné strany sa dohodli na tom, že finančné sprostredkovanie v zmysle </w:t>
      </w:r>
      <w:proofErr w:type="spellStart"/>
      <w:r w:rsidRPr="00EF70E1">
        <w:rPr>
          <w:rFonts w:ascii="Gambria" w:hAnsi="Gambria"/>
          <w:sz w:val="22"/>
          <w:szCs w:val="22"/>
        </w:rPr>
        <w:t>ust</w:t>
      </w:r>
      <w:proofErr w:type="spellEnd"/>
      <w:r w:rsidRPr="00EF70E1">
        <w:rPr>
          <w:rFonts w:ascii="Gambria" w:hAnsi="Gambria"/>
          <w:sz w:val="22"/>
          <w:szCs w:val="22"/>
        </w:rPr>
        <w:t>.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samostatný finančný agent. Samostatného finančného agenta oznámi poistník poistiteľovi. Zmluvné strany sa dohodli na tom, že správa tejto rámcovej dohody, poistnej  zmluvy a likvidácia poistných udalostí z tejto poistnej zmluvy bude realizovaná pre poistníka/poisteného výlučne prostredníctvom samostatného finančného agenta.</w:t>
      </w:r>
    </w:p>
    <w:p w14:paraId="2FB08CC1"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Slovenskej republiky. </w:t>
      </w:r>
    </w:p>
    <w:p w14:paraId="23148ED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Poistiteľ predkladá v Prílohe č. 4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poistiteľ povinný oznámiť poistníkovi akúkoľvek zmenu údajov o subdodávateľovi. </w:t>
      </w:r>
    </w:p>
    <w:p w14:paraId="66B8E04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lastRenderedPageBreak/>
        <w:t>Poistiteľ je oprávnený kedykoľvek počas trvania tejto rámcovej dohody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poistiteľ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zákona o verejnom obstarávaní</w:t>
      </w:r>
      <w:r w:rsidRPr="00EF70E1" w:rsidDel="00F2713D">
        <w:rPr>
          <w:rFonts w:ascii="Gambria" w:hAnsi="Gambria"/>
          <w:sz w:val="22"/>
          <w:szCs w:val="22"/>
        </w:rPr>
        <w:t xml:space="preserve"> </w:t>
      </w:r>
      <w:r w:rsidRPr="00EF70E1">
        <w:rPr>
          <w:rFonts w:ascii="Gambria" w:hAnsi="Gambria"/>
          <w:sz w:val="22"/>
          <w:szCs w:val="22"/>
        </w:rPr>
        <w:t>pre daný predmet subdodávky. Až do splnenia všetkých záväzkov vyplývajúcich z tejto rámcovej dohody je poistiteľ povinný oznámiť poistníkovi akúkoľvek zmenu údajov o novom o verejnom a to formou písomných dodatkov podpísaných zodpovednými zástupcami zmluvných strán.  Plnenie rámcovej dohody a/alebo poistných zmlúv prostredníctvom subdodávateľa nezbavuje poistiteľa povinnosti a zodpovednosti za všetky plnenia poskytnuté subdodávateľom</w:t>
      </w:r>
      <w:r>
        <w:rPr>
          <w:rFonts w:ascii="Cambria" w:hAnsi="Cambria"/>
          <w:sz w:val="22"/>
          <w:szCs w:val="22"/>
        </w:rPr>
        <w:t xml:space="preserve"> </w:t>
      </w:r>
      <w:r w:rsidRPr="000D06AE">
        <w:rPr>
          <w:rFonts w:ascii="Cambria" w:hAnsi="Cambria" w:cs="DelvardCond Reg"/>
          <w:color w:val="000000" w:themeColor="text1"/>
          <w:sz w:val="22"/>
          <w:szCs w:val="22"/>
        </w:rPr>
        <w:t>a nezbavuje zodpovednosti za vzniknuté škody</w:t>
      </w:r>
      <w:r w:rsidRPr="00985D01">
        <w:rPr>
          <w:rFonts w:ascii="Cambria" w:hAnsi="Cambria"/>
          <w:sz w:val="22"/>
        </w:rPr>
        <w:t>.</w:t>
      </w:r>
    </w:p>
    <w:p w14:paraId="5D815F55"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Poistený vyhlasuje a svojim podpisom potvrdzuje, že bol oboznámený s informáciou o podmienkach uzavretia poistnej rámcovej dohody v súlade s Opatrením Národnej banky Slovenska č. 8/2018 z 29. mája 2018 v zmysle § 70 ods. 4 zákona č. 39/2015 Z. z. o poisťovníctve a o zmene a doplnení niektorých zákonov v znení neskorších predpisov</w:t>
      </w:r>
      <w:r w:rsidRPr="00EF70E1" w:rsidDel="00D86EA4">
        <w:rPr>
          <w:rFonts w:ascii="Gambria" w:hAnsi="Gambria"/>
          <w:sz w:val="22"/>
          <w:szCs w:val="22"/>
        </w:rPr>
        <w:t xml:space="preserve"> </w:t>
      </w:r>
      <w:r w:rsidRPr="00EF70E1">
        <w:rPr>
          <w:rFonts w:ascii="Gambria" w:hAnsi="Gambria"/>
          <w:sz w:val="22"/>
          <w:szCs w:val="22"/>
        </w:rPr>
        <w:t xml:space="preserve">. </w:t>
      </w:r>
    </w:p>
    <w:p w14:paraId="473321A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 Táto rámcová dohoda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Poistiteľ súhlasí so zverejnením tejto rámcovej dohody (vrátane jej prípadných dodatkov) a faktúr poistiteľa doručených poistníkovi, pričom poistiteľ tiež disponuje písomným súhlasom inej dotknutej osoby (osoby konajúcej za poistiteľa) na  zverejnenie jej údajov v tejto rámcovej dohode a vo faktúrach poistiteľa, a to zverejnenie poistníkom počas trvania jeho povinnosti podľa § 5a ods. 1, 6 a 9 a § 5b zákona o slobodnom prístupe k informáciám; tento súhlas možno odvolať len po predchádzajúcom písomnom súhlase poistníka.</w:t>
      </w:r>
    </w:p>
    <w:p w14:paraId="0F9F2BCF" w14:textId="77777777" w:rsidR="00A1602B"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Táto rámcová dohoda nadobúda platnosť a je pre zmluvné strany záväzná odo dňa jej podpísania oprávnenými zástupcami oboch zmluvných strán; ak oprávnení zástupcovia oboch zmluvných strán nepodpíšu túto rámcovú dohodu v ten istý deň, tak rozhodujúci je deň neskoršieho podpisu.</w:t>
      </w:r>
      <w:r>
        <w:rPr>
          <w:rFonts w:ascii="Gambria" w:hAnsi="Gambria"/>
          <w:sz w:val="22"/>
          <w:szCs w:val="22"/>
        </w:rPr>
        <w:t xml:space="preserve"> Táto r</w:t>
      </w:r>
      <w:r w:rsidRPr="00EF70E1">
        <w:rPr>
          <w:rFonts w:ascii="Gambria" w:hAnsi="Gambria" w:hint="eastAsia"/>
          <w:sz w:val="22"/>
          <w:szCs w:val="22"/>
        </w:rPr>
        <w:t>á</w:t>
      </w:r>
      <w:r w:rsidRPr="00EF70E1">
        <w:rPr>
          <w:rFonts w:ascii="Gambria" w:hAnsi="Gambria"/>
          <w:sz w:val="22"/>
          <w:szCs w:val="22"/>
        </w:rPr>
        <w:t>mcov</w:t>
      </w:r>
      <w:r w:rsidRPr="00EF70E1">
        <w:rPr>
          <w:rFonts w:ascii="Gambria" w:hAnsi="Gambria" w:hint="eastAsia"/>
          <w:sz w:val="22"/>
          <w:szCs w:val="22"/>
        </w:rPr>
        <w:t>á</w:t>
      </w:r>
      <w:r w:rsidRPr="00EF70E1">
        <w:rPr>
          <w:rFonts w:ascii="Gambria" w:hAnsi="Gambria"/>
          <w:sz w:val="22"/>
          <w:szCs w:val="22"/>
        </w:rPr>
        <w:t xml:space="preserve"> dohoda nadob</w:t>
      </w:r>
      <w:r w:rsidRPr="00EF70E1">
        <w:rPr>
          <w:rFonts w:ascii="Gambria" w:hAnsi="Gambria" w:hint="eastAsia"/>
          <w:sz w:val="22"/>
          <w:szCs w:val="22"/>
        </w:rPr>
        <w:t>ú</w:t>
      </w:r>
      <w:r w:rsidRPr="00EF70E1">
        <w:rPr>
          <w:rFonts w:ascii="Gambria" w:hAnsi="Gambria"/>
          <w:sz w:val="22"/>
          <w:szCs w:val="22"/>
        </w:rPr>
        <w:t xml:space="preserve">da </w:t>
      </w:r>
      <w:r w:rsidRPr="00EF70E1">
        <w:rPr>
          <w:rFonts w:ascii="Gambria" w:hAnsi="Gambria" w:hint="eastAsia"/>
          <w:sz w:val="22"/>
          <w:szCs w:val="22"/>
        </w:rPr>
        <w:t>úč</w:t>
      </w:r>
      <w:r w:rsidRPr="00EF70E1">
        <w:rPr>
          <w:rFonts w:ascii="Gambria" w:hAnsi="Gambria"/>
          <w:sz w:val="22"/>
          <w:szCs w:val="22"/>
        </w:rPr>
        <w:t>innos</w:t>
      </w:r>
      <w:r w:rsidRPr="00EF70E1">
        <w:rPr>
          <w:rFonts w:ascii="Gambria" w:hAnsi="Gambria" w:hint="eastAsia"/>
          <w:sz w:val="22"/>
          <w:szCs w:val="22"/>
        </w:rPr>
        <w:t>ť</w:t>
      </w:r>
      <w:r w:rsidRPr="00EF70E1">
        <w:rPr>
          <w:rFonts w:ascii="Gambria" w:hAnsi="Gambria"/>
          <w:sz w:val="22"/>
          <w:szCs w:val="22"/>
        </w:rPr>
        <w:t xml:space="preserve"> </w:t>
      </w:r>
      <w:r w:rsidRPr="003B6687">
        <w:rPr>
          <w:rFonts w:ascii="Gambria" w:hAnsi="Gambria"/>
          <w:sz w:val="22"/>
          <w:szCs w:val="22"/>
        </w:rPr>
        <w:t>neskôr po dni je</w:t>
      </w:r>
      <w:r>
        <w:rPr>
          <w:rFonts w:ascii="Gambria" w:hAnsi="Gambria"/>
          <w:sz w:val="22"/>
          <w:szCs w:val="22"/>
        </w:rPr>
        <w:t>j</w:t>
      </w:r>
      <w:r w:rsidRPr="003B6687">
        <w:rPr>
          <w:rFonts w:ascii="Gambria" w:hAnsi="Gambria"/>
          <w:sz w:val="22"/>
          <w:szCs w:val="22"/>
        </w:rPr>
        <w:t xml:space="preserve"> zverejnenia na webovom sídle (internetovej stránke) </w:t>
      </w:r>
      <w:r>
        <w:rPr>
          <w:rFonts w:ascii="Gambria" w:hAnsi="Gambria"/>
          <w:sz w:val="22"/>
          <w:szCs w:val="22"/>
        </w:rPr>
        <w:t>poistníka</w:t>
      </w:r>
      <w:r w:rsidRPr="003B6687">
        <w:rPr>
          <w:rFonts w:ascii="Gambria" w:hAnsi="Gambria"/>
          <w:sz w:val="22"/>
          <w:szCs w:val="22"/>
        </w:rPr>
        <w:t xml:space="preserve"> a to odo dňa 01.0</w:t>
      </w:r>
      <w:r>
        <w:rPr>
          <w:rFonts w:ascii="Gambria" w:hAnsi="Gambria"/>
          <w:sz w:val="22"/>
          <w:szCs w:val="22"/>
        </w:rPr>
        <w:t>1</w:t>
      </w:r>
      <w:r w:rsidRPr="003B6687">
        <w:rPr>
          <w:rFonts w:ascii="Gambria" w:hAnsi="Gambria"/>
          <w:sz w:val="22"/>
          <w:szCs w:val="22"/>
        </w:rPr>
        <w:t>.202</w:t>
      </w:r>
      <w:r>
        <w:rPr>
          <w:rFonts w:ascii="Gambria" w:hAnsi="Gambria"/>
          <w:sz w:val="22"/>
          <w:szCs w:val="22"/>
        </w:rPr>
        <w:t>1</w:t>
      </w:r>
      <w:r w:rsidRPr="003B6687">
        <w:rPr>
          <w:rFonts w:ascii="Gambria" w:hAnsi="Gambria"/>
          <w:sz w:val="22"/>
          <w:szCs w:val="22"/>
        </w:rPr>
        <w:t xml:space="preserve"> (§ 47a ods. 2 Občianskeho zákonníka v spojení s § 1 ods. 2 Obchodného zákonníka a s § 5a ods. 1, 6 a 9 zákona o slobodnom prístupe k informáciám).</w:t>
      </w:r>
      <w:r w:rsidRPr="00EF70E1">
        <w:rPr>
          <w:rFonts w:ascii="Gambria" w:hAnsi="Gambria"/>
          <w:sz w:val="22"/>
          <w:szCs w:val="22"/>
        </w:rPr>
        <w:t xml:space="preserve">. </w:t>
      </w:r>
    </w:p>
    <w:p w14:paraId="68606EC0"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Poistník pri spracúvaní osobných údajov, poskytnutých poistiteľom pre účely plnenia tejto rámcovej dohody,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poistníka: https://www.nbs.sk/sk/ochrana-osobnych-udajov.</w:t>
      </w:r>
    </w:p>
    <w:p w14:paraId="5685B1B0"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Rámcová dohoda je vyhotovená v 6 rovnopisoch, z ktorých poistník </w:t>
      </w:r>
      <w:proofErr w:type="spellStart"/>
      <w:r w:rsidRPr="00EF70E1">
        <w:rPr>
          <w:rFonts w:ascii="Gambria" w:hAnsi="Gambria"/>
          <w:sz w:val="22"/>
          <w:szCs w:val="22"/>
        </w:rPr>
        <w:t>obdrží</w:t>
      </w:r>
      <w:proofErr w:type="spellEnd"/>
      <w:r w:rsidRPr="00EF70E1">
        <w:rPr>
          <w:rFonts w:ascii="Gambria" w:hAnsi="Gambria"/>
          <w:sz w:val="22"/>
          <w:szCs w:val="22"/>
        </w:rPr>
        <w:t xml:space="preserve"> 4 rovnopisy rámcovej dohody a poistiteľ </w:t>
      </w:r>
      <w:proofErr w:type="spellStart"/>
      <w:r w:rsidRPr="00EF70E1">
        <w:rPr>
          <w:rFonts w:ascii="Gambria" w:hAnsi="Gambria"/>
          <w:sz w:val="22"/>
          <w:szCs w:val="22"/>
        </w:rPr>
        <w:t>obdrží</w:t>
      </w:r>
      <w:proofErr w:type="spellEnd"/>
      <w:r w:rsidRPr="00EF70E1">
        <w:rPr>
          <w:rFonts w:ascii="Gambria" w:hAnsi="Gambria"/>
          <w:sz w:val="22"/>
          <w:szCs w:val="22"/>
        </w:rPr>
        <w:t xml:space="preserve"> 2 rovnopisy.</w:t>
      </w:r>
    </w:p>
    <w:p w14:paraId="61FE8307"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w:t>
      </w:r>
      <w:r w:rsidRPr="00EF70E1">
        <w:rPr>
          <w:rFonts w:ascii="Gambria" w:hAnsi="Gambria"/>
          <w:sz w:val="22"/>
          <w:szCs w:val="22"/>
        </w:rPr>
        <w:lastRenderedPageBreak/>
        <w:t>rámcovej dohody, pokiaľ pri uzatváraní tejto rámcovej dohody zmluvné strany túto otázku brali do úvahy.</w:t>
      </w:r>
    </w:p>
    <w:p w14:paraId="7BF5986E"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Prílohami tejto rámcovej dohody sú:</w:t>
      </w:r>
    </w:p>
    <w:p w14:paraId="17E59B97" w14:textId="77777777" w:rsidR="00A1602B" w:rsidRPr="00EF70E1" w:rsidRDefault="00A1602B" w:rsidP="00A1602B">
      <w:pPr>
        <w:spacing w:line="259" w:lineRule="auto"/>
        <w:ind w:left="567"/>
        <w:rPr>
          <w:rFonts w:ascii="Gambria" w:hAnsi="Gambria"/>
          <w:sz w:val="22"/>
          <w:szCs w:val="22"/>
        </w:rPr>
      </w:pPr>
      <w:r w:rsidRPr="00EF70E1">
        <w:rPr>
          <w:rFonts w:ascii="Gambria" w:hAnsi="Gambria"/>
          <w:sz w:val="22"/>
          <w:szCs w:val="22"/>
        </w:rPr>
        <w:t xml:space="preserve">Príloha č. 1 – </w:t>
      </w:r>
      <w:r w:rsidRPr="001865AC">
        <w:rPr>
          <w:rFonts w:ascii="Gambria" w:hAnsi="Gambria"/>
          <w:sz w:val="22"/>
          <w:szCs w:val="22"/>
        </w:rPr>
        <w:t xml:space="preserve">Predmet poistenia, poistné sumy, </w:t>
      </w:r>
      <w:r>
        <w:rPr>
          <w:rFonts w:ascii="Gambria" w:hAnsi="Gambria"/>
          <w:sz w:val="22"/>
          <w:szCs w:val="22"/>
        </w:rPr>
        <w:t xml:space="preserve">spôsob poistenia, </w:t>
      </w:r>
      <w:r w:rsidRPr="001865AC">
        <w:rPr>
          <w:rFonts w:ascii="Gambria" w:hAnsi="Gambria"/>
          <w:sz w:val="22"/>
          <w:szCs w:val="22"/>
        </w:rPr>
        <w:t>poistné sadzby</w:t>
      </w:r>
      <w:r>
        <w:rPr>
          <w:rFonts w:ascii="Gambria" w:hAnsi="Gambria"/>
          <w:sz w:val="22"/>
          <w:szCs w:val="22"/>
        </w:rPr>
        <w:t>, poistné, spoluúčasť a limit plnenia</w:t>
      </w:r>
    </w:p>
    <w:p w14:paraId="5E8EAB6C" w14:textId="77777777" w:rsidR="00A1602B" w:rsidRPr="00EF70E1" w:rsidRDefault="00A1602B" w:rsidP="00A1602B">
      <w:pPr>
        <w:spacing w:line="259" w:lineRule="auto"/>
        <w:ind w:left="567"/>
        <w:rPr>
          <w:rFonts w:ascii="Gambria" w:hAnsi="Gambria"/>
          <w:sz w:val="22"/>
          <w:szCs w:val="22"/>
        </w:rPr>
      </w:pPr>
      <w:r w:rsidRPr="00EF70E1">
        <w:rPr>
          <w:rFonts w:ascii="Gambria" w:hAnsi="Gambria"/>
          <w:sz w:val="22"/>
          <w:szCs w:val="22"/>
        </w:rPr>
        <w:t xml:space="preserve">Príloha č. 2 – Všeobecné poistné podmienky, zmluvné dojednania poistiteľa </w:t>
      </w:r>
      <w:r w:rsidRPr="00EF70E1">
        <w:rPr>
          <w:rFonts w:ascii="Gambria" w:hAnsi="Gambria"/>
          <w:color w:val="FF0000"/>
          <w:sz w:val="22"/>
          <w:szCs w:val="22"/>
        </w:rPr>
        <w:t>&lt;predlo</w:t>
      </w:r>
      <w:r w:rsidRPr="00EF70E1">
        <w:rPr>
          <w:rFonts w:ascii="Gambria" w:hAnsi="Gambria" w:hint="eastAsia"/>
          <w:color w:val="FF0000"/>
          <w:sz w:val="22"/>
          <w:szCs w:val="22"/>
        </w:rPr>
        <w:t>ží</w:t>
      </w:r>
      <w:r w:rsidRPr="00EF70E1">
        <w:rPr>
          <w:rFonts w:ascii="Gambria" w:hAnsi="Gambria"/>
          <w:color w:val="FF0000"/>
          <w:sz w:val="22"/>
          <w:szCs w:val="22"/>
        </w:rPr>
        <w:t xml:space="preserve"> uch</w:t>
      </w:r>
      <w:r w:rsidRPr="00EF70E1">
        <w:rPr>
          <w:rFonts w:ascii="Gambria" w:hAnsi="Gambria" w:hint="eastAsia"/>
          <w:color w:val="FF0000"/>
          <w:sz w:val="22"/>
          <w:szCs w:val="22"/>
        </w:rPr>
        <w:t>á</w:t>
      </w:r>
      <w:r w:rsidRPr="00EF70E1">
        <w:rPr>
          <w:rFonts w:ascii="Gambria" w:hAnsi="Gambria"/>
          <w:color w:val="FF0000"/>
          <w:sz w:val="22"/>
          <w:szCs w:val="22"/>
        </w:rPr>
        <w:t>dza</w:t>
      </w:r>
      <w:r w:rsidRPr="00EF70E1">
        <w:rPr>
          <w:rFonts w:ascii="Gambria" w:hAnsi="Gambria" w:hint="eastAsia"/>
          <w:color w:val="FF0000"/>
          <w:sz w:val="22"/>
          <w:szCs w:val="22"/>
        </w:rPr>
        <w:t>č</w:t>
      </w:r>
      <w:r w:rsidRPr="00EF70E1">
        <w:rPr>
          <w:rFonts w:ascii="Gambria" w:hAnsi="Gambria"/>
          <w:color w:val="FF0000"/>
          <w:sz w:val="22"/>
          <w:szCs w:val="22"/>
        </w:rPr>
        <w:t xml:space="preserve"> &gt;</w:t>
      </w:r>
    </w:p>
    <w:p w14:paraId="22533796" w14:textId="77777777" w:rsidR="00A1602B" w:rsidRPr="00EF70E1" w:rsidRDefault="00A1602B" w:rsidP="00A1602B">
      <w:pPr>
        <w:pStyle w:val="ListParagraph"/>
        <w:widowControl/>
        <w:autoSpaceDE/>
        <w:autoSpaceDN/>
        <w:adjustRightInd/>
        <w:ind w:left="567" w:firstLine="0"/>
        <w:jc w:val="left"/>
        <w:rPr>
          <w:rFonts w:ascii="Gambria" w:hAnsi="Gambria"/>
          <w:sz w:val="22"/>
          <w:szCs w:val="22"/>
        </w:rPr>
      </w:pPr>
      <w:r w:rsidRPr="00EF70E1">
        <w:rPr>
          <w:rFonts w:ascii="Gambria" w:hAnsi="Gambria"/>
          <w:sz w:val="22"/>
          <w:szCs w:val="22"/>
        </w:rPr>
        <w:t>Príloha č. 3 – Zoznam objektov poistníka</w:t>
      </w:r>
    </w:p>
    <w:p w14:paraId="6D8837CD" w14:textId="77777777" w:rsidR="00A1602B" w:rsidRPr="00EF70E1" w:rsidRDefault="00A1602B" w:rsidP="00A1602B">
      <w:pPr>
        <w:pStyle w:val="ListParagraph"/>
        <w:widowControl/>
        <w:autoSpaceDE/>
        <w:autoSpaceDN/>
        <w:adjustRightInd/>
        <w:ind w:left="567" w:firstLine="0"/>
        <w:jc w:val="left"/>
        <w:rPr>
          <w:rFonts w:ascii="Gambria" w:hAnsi="Gambria"/>
          <w:sz w:val="22"/>
          <w:szCs w:val="22"/>
        </w:rPr>
      </w:pPr>
      <w:r w:rsidRPr="00EF70E1">
        <w:rPr>
          <w:rFonts w:ascii="Gambria" w:hAnsi="Gambria"/>
          <w:sz w:val="22"/>
          <w:szCs w:val="22"/>
        </w:rPr>
        <w:t>Príloha č. 4 – Zoznam subdodávateľov</w:t>
      </w:r>
    </w:p>
    <w:p w14:paraId="1DD1AA2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0F79B5F2" w14:textId="77777777" w:rsidR="00A1602B" w:rsidRPr="00EF70E1" w:rsidRDefault="00A1602B" w:rsidP="00A1602B">
      <w:pPr>
        <w:ind w:left="567"/>
        <w:rPr>
          <w:rFonts w:ascii="Gambria" w:hAnsi="Gambria"/>
          <w:sz w:val="22"/>
          <w:szCs w:val="22"/>
        </w:rPr>
      </w:pPr>
    </w:p>
    <w:p w14:paraId="4B45D097"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Za poistníka:</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t>Za poistiteľa:</w:t>
      </w:r>
      <w:r w:rsidRPr="00EF70E1">
        <w:rPr>
          <w:rFonts w:ascii="Gambria" w:hAnsi="Gambria"/>
          <w:sz w:val="22"/>
          <w:szCs w:val="22"/>
        </w:rPr>
        <w:tab/>
      </w:r>
    </w:p>
    <w:p w14:paraId="50601C3A"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1227C214"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V Bratislave, dňa &lt;vyplní VO&gt;</w:t>
      </w:r>
      <w:r w:rsidRPr="00EF70E1">
        <w:rPr>
          <w:rFonts w:ascii="Gambria" w:hAnsi="Gambria"/>
          <w:sz w:val="22"/>
          <w:szCs w:val="22"/>
        </w:rPr>
        <w:tab/>
      </w:r>
      <w:r w:rsidRPr="00EF70E1">
        <w:rPr>
          <w:rFonts w:ascii="Gambria" w:hAnsi="Gambria"/>
          <w:sz w:val="22"/>
          <w:szCs w:val="22"/>
        </w:rPr>
        <w:tab/>
        <w:t xml:space="preserve">V </w:t>
      </w:r>
      <w:r w:rsidRPr="00EF70E1">
        <w:rPr>
          <w:rFonts w:ascii="Gambria" w:hAnsi="Gambria"/>
          <w:color w:val="FF0000"/>
          <w:sz w:val="22"/>
          <w:szCs w:val="22"/>
        </w:rPr>
        <w:t>&lt;vyplní uchádzač &gt;</w:t>
      </w:r>
      <w:r w:rsidRPr="00EF70E1">
        <w:rPr>
          <w:rFonts w:ascii="Gambria" w:hAnsi="Gambria"/>
          <w:sz w:val="22"/>
          <w:szCs w:val="22"/>
        </w:rPr>
        <w:t xml:space="preserve">, dňa </w:t>
      </w:r>
      <w:r w:rsidRPr="00EF70E1">
        <w:rPr>
          <w:rFonts w:ascii="Gambria" w:hAnsi="Gambria"/>
          <w:color w:val="FF0000"/>
          <w:sz w:val="22"/>
          <w:szCs w:val="22"/>
        </w:rPr>
        <w:t>&lt;vyplní uchádzač &gt;</w:t>
      </w:r>
    </w:p>
    <w:p w14:paraId="1A4D270D"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1CDFD087"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514F845D"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w:t>
      </w:r>
      <w:r w:rsidRPr="00EF70E1">
        <w:rPr>
          <w:rFonts w:ascii="Gambria" w:hAnsi="Gambria"/>
          <w:sz w:val="22"/>
          <w:szCs w:val="22"/>
        </w:rPr>
        <w:tab/>
      </w:r>
      <w:r w:rsidRPr="00EF70E1">
        <w:rPr>
          <w:rFonts w:ascii="Gambria" w:hAnsi="Gambria"/>
          <w:sz w:val="22"/>
          <w:szCs w:val="22"/>
        </w:rPr>
        <w:tab/>
        <w:t>.......................................................</w:t>
      </w:r>
    </w:p>
    <w:p w14:paraId="7295BBE6"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Národná banka Slovenska</w:t>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 &gt;</w:t>
      </w:r>
    </w:p>
    <w:p w14:paraId="755657C5"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&lt;vyplní VO&gt;</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 &gt;</w:t>
      </w:r>
    </w:p>
    <w:p w14:paraId="0C720C18" w14:textId="77777777" w:rsidR="00A1602B"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&lt;vyplní VO&gt;</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uchádzač&gt;</w:t>
      </w:r>
      <w:r w:rsidRPr="00EF70E1">
        <w:rPr>
          <w:rFonts w:ascii="Gambria" w:hAnsi="Gambria"/>
          <w:sz w:val="22"/>
          <w:szCs w:val="22"/>
        </w:rPr>
        <w:br w:type="page"/>
      </w:r>
    </w:p>
    <w:p w14:paraId="0E469B03"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1 k Rámcovej dohode</w:t>
      </w:r>
    </w:p>
    <w:p w14:paraId="45B56E99" w14:textId="77777777" w:rsidR="00A1602B" w:rsidRDefault="00A1602B" w:rsidP="00A1602B">
      <w:pPr>
        <w:spacing w:after="160" w:line="259" w:lineRule="auto"/>
        <w:rPr>
          <w:rFonts w:ascii="Gambria" w:hAnsi="Gambria"/>
          <w:sz w:val="22"/>
          <w:szCs w:val="22"/>
        </w:rPr>
      </w:pPr>
      <w:r w:rsidRPr="001865AC">
        <w:rPr>
          <w:rFonts w:ascii="Gambria" w:hAnsi="Gambria"/>
          <w:sz w:val="22"/>
          <w:szCs w:val="22"/>
        </w:rPr>
        <w:t xml:space="preserve">Predmet poistenia, poistné sumy, </w:t>
      </w:r>
      <w:r>
        <w:rPr>
          <w:rFonts w:ascii="Gambria" w:hAnsi="Gambria"/>
          <w:sz w:val="22"/>
          <w:szCs w:val="22"/>
        </w:rPr>
        <w:t xml:space="preserve">spôsob poistenia, </w:t>
      </w:r>
      <w:r w:rsidRPr="001865AC">
        <w:rPr>
          <w:rFonts w:ascii="Gambria" w:hAnsi="Gambria"/>
          <w:sz w:val="22"/>
          <w:szCs w:val="22"/>
        </w:rPr>
        <w:t>poistné sadzby</w:t>
      </w:r>
      <w:r>
        <w:rPr>
          <w:rFonts w:ascii="Gambria" w:hAnsi="Gambria"/>
          <w:sz w:val="22"/>
          <w:szCs w:val="22"/>
        </w:rPr>
        <w:t>, poistné, spoluúčasť a limit plnenia</w:t>
      </w:r>
    </w:p>
    <w:p w14:paraId="5C60B960" w14:textId="77777777" w:rsidR="00A1602B" w:rsidRDefault="00A1602B" w:rsidP="00A1602B">
      <w:pPr>
        <w:spacing w:after="160" w:line="259" w:lineRule="auto"/>
        <w:rPr>
          <w:rFonts w:ascii="Gambria" w:hAnsi="Gambria"/>
          <w:sz w:val="22"/>
          <w:szCs w:val="22"/>
        </w:rPr>
      </w:pPr>
    </w:p>
    <w:tbl>
      <w:tblPr>
        <w:tblW w:w="10034" w:type="dxa"/>
        <w:tblInd w:w="-678" w:type="dxa"/>
        <w:tblCellMar>
          <w:left w:w="70" w:type="dxa"/>
          <w:right w:w="70" w:type="dxa"/>
        </w:tblCellMar>
        <w:tblLook w:val="04A0" w:firstRow="1" w:lastRow="0" w:firstColumn="1" w:lastColumn="0" w:noHBand="0" w:noVBand="1"/>
      </w:tblPr>
      <w:tblGrid>
        <w:gridCol w:w="3686"/>
        <w:gridCol w:w="1528"/>
        <w:gridCol w:w="1560"/>
        <w:gridCol w:w="1559"/>
        <w:gridCol w:w="1701"/>
      </w:tblGrid>
      <w:tr w:rsidR="00A1602B" w:rsidRPr="00A84D63" w14:paraId="2A75933C" w14:textId="77777777" w:rsidTr="00843E48">
        <w:trPr>
          <w:trHeight w:val="240"/>
        </w:trPr>
        <w:tc>
          <w:tcPr>
            <w:tcW w:w="3686" w:type="dxa"/>
            <w:tcBorders>
              <w:top w:val="nil"/>
              <w:left w:val="nil"/>
              <w:bottom w:val="nil"/>
              <w:right w:val="nil"/>
            </w:tcBorders>
            <w:shd w:val="clear" w:color="auto" w:fill="auto"/>
            <w:noWrap/>
            <w:vAlign w:val="bottom"/>
            <w:hideMark/>
          </w:tcPr>
          <w:p w14:paraId="05B470E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majetku</w:t>
            </w:r>
          </w:p>
        </w:tc>
        <w:tc>
          <w:tcPr>
            <w:tcW w:w="1528" w:type="dxa"/>
            <w:tcBorders>
              <w:top w:val="nil"/>
              <w:left w:val="nil"/>
              <w:bottom w:val="nil"/>
              <w:right w:val="nil"/>
            </w:tcBorders>
            <w:shd w:val="clear" w:color="auto" w:fill="auto"/>
            <w:noWrap/>
            <w:vAlign w:val="bottom"/>
            <w:hideMark/>
          </w:tcPr>
          <w:p w14:paraId="765BAC92"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35F863C3"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1517FA1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53E244C8" w14:textId="77777777" w:rsidR="00A1602B" w:rsidRPr="00A84D63" w:rsidRDefault="00A1602B" w:rsidP="00843E48">
            <w:pPr>
              <w:rPr>
                <w:sz w:val="20"/>
                <w:szCs w:val="20"/>
              </w:rPr>
            </w:pPr>
          </w:p>
        </w:tc>
      </w:tr>
      <w:tr w:rsidR="00A1602B" w:rsidRPr="00A84D63" w14:paraId="0FEC8EF3" w14:textId="77777777" w:rsidTr="00843E48">
        <w:trPr>
          <w:trHeight w:val="240"/>
        </w:trPr>
        <w:tc>
          <w:tcPr>
            <w:tcW w:w="3686" w:type="dxa"/>
            <w:tcBorders>
              <w:top w:val="nil"/>
              <w:left w:val="nil"/>
              <w:bottom w:val="nil"/>
              <w:right w:val="nil"/>
            </w:tcBorders>
            <w:shd w:val="clear" w:color="auto" w:fill="auto"/>
            <w:noWrap/>
            <w:vAlign w:val="bottom"/>
            <w:hideMark/>
          </w:tcPr>
          <w:p w14:paraId="7B9E31D2" w14:textId="77777777" w:rsidR="00A1602B" w:rsidRPr="00A84D63" w:rsidRDefault="00A1602B" w:rsidP="00843E48">
            <w:pPr>
              <w:jc w:val="right"/>
              <w:rPr>
                <w:sz w:val="20"/>
                <w:szCs w:val="20"/>
              </w:rPr>
            </w:pPr>
          </w:p>
        </w:tc>
        <w:tc>
          <w:tcPr>
            <w:tcW w:w="1528" w:type="dxa"/>
            <w:tcBorders>
              <w:top w:val="nil"/>
              <w:left w:val="nil"/>
              <w:bottom w:val="nil"/>
              <w:right w:val="nil"/>
            </w:tcBorders>
            <w:shd w:val="clear" w:color="auto" w:fill="auto"/>
            <w:noWrap/>
            <w:vAlign w:val="bottom"/>
            <w:hideMark/>
          </w:tcPr>
          <w:p w14:paraId="7EEA3AFF"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7AE6569F"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71961A0E"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26727483" w14:textId="77777777" w:rsidR="00A1602B" w:rsidRPr="00A84D63" w:rsidRDefault="00A1602B" w:rsidP="00843E48">
            <w:pPr>
              <w:jc w:val="right"/>
              <w:rPr>
                <w:rFonts w:ascii="Arial" w:hAnsi="Arial" w:cs="Arial"/>
                <w:b/>
                <w:bCs/>
                <w:sz w:val="16"/>
                <w:szCs w:val="16"/>
              </w:rPr>
            </w:pPr>
            <w:r w:rsidRPr="00A84D63">
              <w:rPr>
                <w:rFonts w:ascii="Arial" w:hAnsi="Arial" w:cs="Arial"/>
                <w:b/>
                <w:bCs/>
                <w:sz w:val="16"/>
                <w:szCs w:val="16"/>
              </w:rPr>
              <w:t xml:space="preserve"> Tabuľka č. 1 </w:t>
            </w:r>
          </w:p>
        </w:tc>
      </w:tr>
      <w:tr w:rsidR="00A1602B" w:rsidRPr="00A84D63" w14:paraId="19DE2148" w14:textId="77777777" w:rsidTr="00843E48">
        <w:trPr>
          <w:trHeight w:val="240"/>
        </w:trPr>
        <w:tc>
          <w:tcPr>
            <w:tcW w:w="3686" w:type="dxa"/>
            <w:tcBorders>
              <w:top w:val="nil"/>
              <w:left w:val="nil"/>
              <w:bottom w:val="nil"/>
              <w:right w:val="nil"/>
            </w:tcBorders>
            <w:shd w:val="clear" w:color="auto" w:fill="auto"/>
            <w:noWrap/>
            <w:vAlign w:val="bottom"/>
            <w:hideMark/>
          </w:tcPr>
          <w:p w14:paraId="0134AD17"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Komplexné prípadne združené živelné poistenie </w:t>
            </w:r>
          </w:p>
        </w:tc>
        <w:tc>
          <w:tcPr>
            <w:tcW w:w="1528" w:type="dxa"/>
            <w:tcBorders>
              <w:top w:val="nil"/>
              <w:left w:val="nil"/>
              <w:bottom w:val="nil"/>
              <w:right w:val="nil"/>
            </w:tcBorders>
            <w:shd w:val="clear" w:color="auto" w:fill="auto"/>
            <w:noWrap/>
            <w:vAlign w:val="bottom"/>
            <w:hideMark/>
          </w:tcPr>
          <w:p w14:paraId="5CE0F04B"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3C6F5C24"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noWrap/>
            <w:vAlign w:val="bottom"/>
            <w:hideMark/>
          </w:tcPr>
          <w:p w14:paraId="172EAFCA"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noWrap/>
            <w:vAlign w:val="bottom"/>
            <w:hideMark/>
          </w:tcPr>
          <w:p w14:paraId="751AA2A2" w14:textId="77777777" w:rsidR="00A1602B" w:rsidRPr="00A84D63" w:rsidRDefault="00A1602B" w:rsidP="00843E48">
            <w:pPr>
              <w:jc w:val="center"/>
              <w:rPr>
                <w:sz w:val="20"/>
                <w:szCs w:val="20"/>
              </w:rPr>
            </w:pPr>
          </w:p>
        </w:tc>
      </w:tr>
      <w:tr w:rsidR="00A1602B" w:rsidRPr="00A84D63" w14:paraId="0A49094C" w14:textId="77777777" w:rsidTr="00843E48">
        <w:trPr>
          <w:trHeight w:val="465"/>
        </w:trPr>
        <w:tc>
          <w:tcPr>
            <w:tcW w:w="3686"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79AF8784"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28" w:type="dxa"/>
            <w:tcBorders>
              <w:top w:val="single" w:sz="8" w:space="0" w:color="auto"/>
              <w:left w:val="nil"/>
              <w:bottom w:val="double" w:sz="6" w:space="0" w:color="auto"/>
              <w:right w:val="single" w:sz="4" w:space="0" w:color="auto"/>
            </w:tcBorders>
            <w:shd w:val="clear" w:color="000000" w:fill="99CCFF"/>
            <w:vAlign w:val="bottom"/>
            <w:hideMark/>
          </w:tcPr>
          <w:p w14:paraId="5DEED44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2E52956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559" w:type="dxa"/>
            <w:tcBorders>
              <w:top w:val="single" w:sz="8" w:space="0" w:color="auto"/>
              <w:left w:val="nil"/>
              <w:bottom w:val="double" w:sz="6" w:space="0" w:color="auto"/>
              <w:right w:val="single" w:sz="4" w:space="0" w:color="auto"/>
            </w:tcBorders>
            <w:shd w:val="clear" w:color="000000" w:fill="C0C0C0"/>
            <w:vAlign w:val="bottom"/>
            <w:hideMark/>
          </w:tcPr>
          <w:p w14:paraId="313AD362"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701" w:type="dxa"/>
            <w:tcBorders>
              <w:top w:val="single" w:sz="8" w:space="0" w:color="auto"/>
              <w:left w:val="nil"/>
              <w:bottom w:val="double" w:sz="6" w:space="0" w:color="auto"/>
              <w:right w:val="single" w:sz="4" w:space="0" w:color="auto"/>
            </w:tcBorders>
            <w:shd w:val="clear" w:color="000000" w:fill="99CCFF"/>
            <w:vAlign w:val="bottom"/>
            <w:hideMark/>
          </w:tcPr>
          <w:p w14:paraId="38CC2234"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2180AE4A" w14:textId="77777777" w:rsidTr="00843E48">
        <w:trPr>
          <w:trHeight w:val="75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2EF66B5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nehnuteľného majetku - budovy, haly a stavby vrátane pevne zabudovaných  technologických zariadení a stavebných súčastí, príslušenstva </w:t>
            </w:r>
          </w:p>
        </w:tc>
        <w:tc>
          <w:tcPr>
            <w:tcW w:w="1528" w:type="dxa"/>
            <w:tcBorders>
              <w:top w:val="nil"/>
              <w:left w:val="nil"/>
              <w:bottom w:val="single" w:sz="4" w:space="0" w:color="auto"/>
              <w:right w:val="single" w:sz="4" w:space="0" w:color="auto"/>
            </w:tcBorders>
            <w:shd w:val="clear" w:color="auto" w:fill="auto"/>
            <w:noWrap/>
            <w:vAlign w:val="center"/>
            <w:hideMark/>
          </w:tcPr>
          <w:p w14:paraId="3E81EF4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254 380 350,00   </w:t>
            </w:r>
          </w:p>
        </w:tc>
        <w:tc>
          <w:tcPr>
            <w:tcW w:w="1560" w:type="dxa"/>
            <w:tcBorders>
              <w:top w:val="nil"/>
              <w:left w:val="nil"/>
              <w:bottom w:val="single" w:sz="4" w:space="0" w:color="auto"/>
              <w:right w:val="single" w:sz="4" w:space="0" w:color="auto"/>
            </w:tcBorders>
            <w:shd w:val="clear" w:color="auto" w:fill="auto"/>
            <w:vAlign w:val="center"/>
            <w:hideMark/>
          </w:tcPr>
          <w:p w14:paraId="19C579D8"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47E02165" w14:textId="77777777" w:rsidR="00A1602B" w:rsidRPr="00A84D63" w:rsidRDefault="00A1602B" w:rsidP="00843E48">
            <w:pPr>
              <w:jc w:val="center"/>
              <w:rPr>
                <w:rFonts w:ascii="Calibri" w:hAnsi="Calibri" w:cs="Calibri"/>
                <w:sz w:val="16"/>
                <w:szCs w:val="16"/>
              </w:rPr>
            </w:pPr>
            <w:r w:rsidRPr="00BF6B1C">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7C6DF5EE"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BF6B1C">
              <w:rPr>
                <w:rFonts w:ascii="Calibri" w:hAnsi="Calibri" w:cs="Calibri"/>
                <w:color w:val="FF0000"/>
                <w:sz w:val="16"/>
                <w:szCs w:val="16"/>
              </w:rPr>
              <w:t>&lt;vyplní uchádzač &gt;</w:t>
            </w:r>
          </w:p>
        </w:tc>
      </w:tr>
      <w:tr w:rsidR="00A1602B" w:rsidRPr="00A84D63" w14:paraId="08D2B712" w14:textId="77777777" w:rsidTr="00843E48">
        <w:trPr>
          <w:trHeight w:val="96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60AB060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hnuteľného majetku vrátane strojov, prístrojov a zariadení, DHM, inventáru, dopravných prostriedkov bez EČV, mobiliáru, drobného majetku v používaní a podsúvahovom účte, obstaranie hmotného majetku</w:t>
            </w:r>
          </w:p>
        </w:tc>
        <w:tc>
          <w:tcPr>
            <w:tcW w:w="1528" w:type="dxa"/>
            <w:tcBorders>
              <w:top w:val="nil"/>
              <w:left w:val="nil"/>
              <w:bottom w:val="single" w:sz="4" w:space="0" w:color="auto"/>
              <w:right w:val="single" w:sz="4" w:space="0" w:color="auto"/>
            </w:tcBorders>
            <w:shd w:val="clear" w:color="auto" w:fill="auto"/>
            <w:noWrap/>
            <w:vAlign w:val="center"/>
            <w:hideMark/>
          </w:tcPr>
          <w:p w14:paraId="1C14114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41 172 034,49   </w:t>
            </w:r>
          </w:p>
        </w:tc>
        <w:tc>
          <w:tcPr>
            <w:tcW w:w="1560" w:type="dxa"/>
            <w:tcBorders>
              <w:top w:val="nil"/>
              <w:left w:val="nil"/>
              <w:bottom w:val="single" w:sz="4" w:space="0" w:color="auto"/>
              <w:right w:val="single" w:sz="4" w:space="0" w:color="auto"/>
            </w:tcBorders>
            <w:shd w:val="clear" w:color="auto" w:fill="auto"/>
            <w:noWrap/>
            <w:vAlign w:val="center"/>
            <w:hideMark/>
          </w:tcPr>
          <w:p w14:paraId="48E730C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6847ECCE"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2A548DDA"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2F22439" w14:textId="77777777" w:rsidTr="00843E48">
        <w:trPr>
          <w:trHeight w:val="255"/>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16C5DCF9"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zásob</w:t>
            </w:r>
          </w:p>
        </w:tc>
        <w:tc>
          <w:tcPr>
            <w:tcW w:w="1528" w:type="dxa"/>
            <w:tcBorders>
              <w:top w:val="nil"/>
              <w:left w:val="nil"/>
              <w:bottom w:val="single" w:sz="4" w:space="0" w:color="auto"/>
              <w:right w:val="single" w:sz="4" w:space="0" w:color="auto"/>
            </w:tcBorders>
            <w:shd w:val="clear" w:color="auto" w:fill="auto"/>
            <w:noWrap/>
            <w:vAlign w:val="center"/>
            <w:hideMark/>
          </w:tcPr>
          <w:p w14:paraId="3FBAEF1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258 556,68   </w:t>
            </w:r>
          </w:p>
        </w:tc>
        <w:tc>
          <w:tcPr>
            <w:tcW w:w="1560" w:type="dxa"/>
            <w:tcBorders>
              <w:top w:val="nil"/>
              <w:left w:val="nil"/>
              <w:bottom w:val="single" w:sz="4" w:space="0" w:color="auto"/>
              <w:right w:val="single" w:sz="4" w:space="0" w:color="auto"/>
            </w:tcBorders>
            <w:shd w:val="clear" w:color="auto" w:fill="auto"/>
            <w:noWrap/>
            <w:vAlign w:val="center"/>
            <w:hideMark/>
          </w:tcPr>
          <w:p w14:paraId="0173D6E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5408D5BA"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71FC3109"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1E9EBE3" w14:textId="77777777" w:rsidTr="00843E48">
        <w:trPr>
          <w:trHeight w:val="120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4E64859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vlastných a cudzích hnuteľných vecí - zbierky umeleckých predmetov, </w:t>
            </w:r>
            <w:r w:rsidRPr="00371342">
              <w:rPr>
                <w:rFonts w:ascii="Calibri" w:hAnsi="Calibri" w:cs="Calibri"/>
                <w:b/>
                <w:bCs/>
                <w:sz w:val="16"/>
                <w:szCs w:val="16"/>
              </w:rPr>
              <w:t xml:space="preserve">zbierkové predmety </w:t>
            </w:r>
            <w:r w:rsidRPr="00A84D63">
              <w:rPr>
                <w:rFonts w:ascii="Calibri" w:hAnsi="Calibri" w:cs="Calibri"/>
                <w:b/>
                <w:bCs/>
                <w:sz w:val="16"/>
                <w:szCs w:val="16"/>
              </w:rPr>
              <w:t>(napr.: mince, medaile, obrazy, sochy, knihy, hudobné nástroje atď.) s výnimkou vozidiel, ktorým je pridelené EČV, lodí a lietadiel. Vrátane hnuteľných vecí nadobudnutých prostredníctvom fondov EU</w:t>
            </w:r>
          </w:p>
        </w:tc>
        <w:tc>
          <w:tcPr>
            <w:tcW w:w="1528" w:type="dxa"/>
            <w:tcBorders>
              <w:top w:val="nil"/>
              <w:left w:val="nil"/>
              <w:bottom w:val="single" w:sz="4" w:space="0" w:color="auto"/>
              <w:right w:val="single" w:sz="4" w:space="0" w:color="auto"/>
            </w:tcBorders>
            <w:shd w:val="clear" w:color="auto" w:fill="auto"/>
            <w:noWrap/>
            <w:vAlign w:val="center"/>
            <w:hideMark/>
          </w:tcPr>
          <w:p w14:paraId="01658E1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28 140 286,54   </w:t>
            </w:r>
          </w:p>
        </w:tc>
        <w:tc>
          <w:tcPr>
            <w:tcW w:w="1560" w:type="dxa"/>
            <w:tcBorders>
              <w:top w:val="nil"/>
              <w:left w:val="nil"/>
              <w:bottom w:val="single" w:sz="4" w:space="0" w:color="auto"/>
              <w:right w:val="single" w:sz="4" w:space="0" w:color="auto"/>
            </w:tcBorders>
            <w:shd w:val="clear" w:color="auto" w:fill="auto"/>
            <w:noWrap/>
            <w:vAlign w:val="center"/>
            <w:hideMark/>
          </w:tcPr>
          <w:p w14:paraId="300967A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73D9E381"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08F9CAE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3C8E4539" w14:textId="77777777" w:rsidTr="00843E48">
        <w:trPr>
          <w:trHeight w:val="51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360B59D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Terorizmus: výlučne budova NBS, Imricha Karvaša č.1, 813 25 Bratislava (ústredie)</w:t>
            </w:r>
          </w:p>
        </w:tc>
        <w:tc>
          <w:tcPr>
            <w:tcW w:w="1528" w:type="dxa"/>
            <w:tcBorders>
              <w:top w:val="nil"/>
              <w:left w:val="nil"/>
              <w:bottom w:val="single" w:sz="4" w:space="0" w:color="auto"/>
              <w:right w:val="single" w:sz="4" w:space="0" w:color="auto"/>
            </w:tcBorders>
            <w:shd w:val="clear" w:color="auto" w:fill="auto"/>
            <w:noWrap/>
            <w:vAlign w:val="center"/>
            <w:hideMark/>
          </w:tcPr>
          <w:p w14:paraId="6C82D9BB"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160 000 000,00   </w:t>
            </w:r>
          </w:p>
        </w:tc>
        <w:tc>
          <w:tcPr>
            <w:tcW w:w="1560" w:type="dxa"/>
            <w:tcBorders>
              <w:top w:val="nil"/>
              <w:left w:val="nil"/>
              <w:bottom w:val="single" w:sz="4" w:space="0" w:color="auto"/>
              <w:right w:val="single" w:sz="4" w:space="0" w:color="auto"/>
            </w:tcBorders>
            <w:shd w:val="clear" w:color="auto" w:fill="auto"/>
            <w:noWrap/>
            <w:vAlign w:val="center"/>
            <w:hideMark/>
          </w:tcPr>
          <w:p w14:paraId="72E7DD7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559" w:type="dxa"/>
            <w:tcBorders>
              <w:top w:val="nil"/>
              <w:left w:val="nil"/>
              <w:bottom w:val="single" w:sz="4" w:space="0" w:color="auto"/>
              <w:right w:val="single" w:sz="4" w:space="0" w:color="auto"/>
            </w:tcBorders>
            <w:shd w:val="clear" w:color="000000" w:fill="C0C0C0"/>
            <w:noWrap/>
            <w:vAlign w:val="center"/>
            <w:hideMark/>
          </w:tcPr>
          <w:p w14:paraId="4427BB87"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435204C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56996F06" w14:textId="77777777" w:rsidTr="00843E48">
        <w:trPr>
          <w:trHeight w:val="30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39026A02"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Odpratávacie, demolačné, demontážné a remontážne náklady</w:t>
            </w:r>
          </w:p>
        </w:tc>
        <w:tc>
          <w:tcPr>
            <w:tcW w:w="15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A9A17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250 000,00   </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02A380A3"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559" w:type="dxa"/>
            <w:vMerge w:val="restart"/>
            <w:tcBorders>
              <w:top w:val="nil"/>
              <w:left w:val="single" w:sz="4" w:space="0" w:color="auto"/>
              <w:bottom w:val="single" w:sz="8" w:space="0" w:color="000000"/>
              <w:right w:val="single" w:sz="4" w:space="0" w:color="auto"/>
            </w:tcBorders>
            <w:shd w:val="clear" w:color="000000" w:fill="C0C0C0"/>
            <w:vAlign w:val="center"/>
            <w:hideMark/>
          </w:tcPr>
          <w:p w14:paraId="558AA81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43600B2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042A5905"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5745236D"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posudkového znalca</w:t>
            </w:r>
          </w:p>
        </w:tc>
        <w:tc>
          <w:tcPr>
            <w:tcW w:w="1528" w:type="dxa"/>
            <w:vMerge/>
            <w:tcBorders>
              <w:top w:val="nil"/>
              <w:left w:val="single" w:sz="4" w:space="0" w:color="auto"/>
              <w:bottom w:val="single" w:sz="8" w:space="0" w:color="000000"/>
              <w:right w:val="single" w:sz="4" w:space="0" w:color="auto"/>
            </w:tcBorders>
            <w:vAlign w:val="center"/>
            <w:hideMark/>
          </w:tcPr>
          <w:p w14:paraId="126CFC2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A12C2D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CCA1F1B"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11816AB" w14:textId="77777777" w:rsidR="00A1602B" w:rsidRPr="00A84D63" w:rsidRDefault="00A1602B" w:rsidP="00843E48">
            <w:pPr>
              <w:rPr>
                <w:rFonts w:ascii="Calibri" w:hAnsi="Calibri" w:cs="Calibri"/>
                <w:sz w:val="16"/>
                <w:szCs w:val="16"/>
              </w:rPr>
            </w:pPr>
          </w:p>
        </w:tc>
      </w:tr>
      <w:tr w:rsidR="00A1602B" w:rsidRPr="00A84D63" w14:paraId="5FC49F8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67A5BF7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hľadanie príčiny škody</w:t>
            </w:r>
          </w:p>
        </w:tc>
        <w:tc>
          <w:tcPr>
            <w:tcW w:w="1528" w:type="dxa"/>
            <w:vMerge/>
            <w:tcBorders>
              <w:top w:val="nil"/>
              <w:left w:val="single" w:sz="4" w:space="0" w:color="auto"/>
              <w:bottom w:val="single" w:sz="8" w:space="0" w:color="000000"/>
              <w:right w:val="single" w:sz="4" w:space="0" w:color="auto"/>
            </w:tcBorders>
            <w:vAlign w:val="center"/>
            <w:hideMark/>
          </w:tcPr>
          <w:p w14:paraId="5CAE862D"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E5E5FA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7588C523"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FFBB64" w14:textId="77777777" w:rsidR="00A1602B" w:rsidRPr="00A84D63" w:rsidRDefault="00A1602B" w:rsidP="00843E48">
            <w:pPr>
              <w:rPr>
                <w:rFonts w:ascii="Calibri" w:hAnsi="Calibri" w:cs="Calibri"/>
                <w:sz w:val="16"/>
                <w:szCs w:val="16"/>
              </w:rPr>
            </w:pPr>
          </w:p>
        </w:tc>
      </w:tr>
      <w:tr w:rsidR="00A1602B" w:rsidRPr="00A84D63" w14:paraId="40A0F7D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1529D53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zemné a výkopové práce</w:t>
            </w:r>
          </w:p>
        </w:tc>
        <w:tc>
          <w:tcPr>
            <w:tcW w:w="1528" w:type="dxa"/>
            <w:vMerge/>
            <w:tcBorders>
              <w:top w:val="nil"/>
              <w:left w:val="single" w:sz="4" w:space="0" w:color="auto"/>
              <w:bottom w:val="single" w:sz="8" w:space="0" w:color="000000"/>
              <w:right w:val="single" w:sz="4" w:space="0" w:color="auto"/>
            </w:tcBorders>
            <w:vAlign w:val="center"/>
            <w:hideMark/>
          </w:tcPr>
          <w:p w14:paraId="00E57587"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DDA67A6"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EC74092"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7D04EA64" w14:textId="77777777" w:rsidR="00A1602B" w:rsidRPr="00A84D63" w:rsidRDefault="00A1602B" w:rsidP="00843E48">
            <w:pPr>
              <w:rPr>
                <w:rFonts w:ascii="Calibri" w:hAnsi="Calibri" w:cs="Calibri"/>
                <w:sz w:val="16"/>
                <w:szCs w:val="16"/>
              </w:rPr>
            </w:pPr>
          </w:p>
        </w:tc>
      </w:tr>
      <w:tr w:rsidR="00A1602B" w:rsidRPr="00A84D63" w14:paraId="3430BC00"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7A51A4B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spojené s dodatočnými, projektovými a plánovacími prácami</w:t>
            </w:r>
          </w:p>
        </w:tc>
        <w:tc>
          <w:tcPr>
            <w:tcW w:w="1528" w:type="dxa"/>
            <w:vMerge/>
            <w:tcBorders>
              <w:top w:val="nil"/>
              <w:left w:val="single" w:sz="4" w:space="0" w:color="auto"/>
              <w:bottom w:val="single" w:sz="8" w:space="0" w:color="000000"/>
              <w:right w:val="single" w:sz="4" w:space="0" w:color="auto"/>
            </w:tcBorders>
            <w:vAlign w:val="center"/>
            <w:hideMark/>
          </w:tcPr>
          <w:p w14:paraId="2929BD21"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1496624"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7E05409"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404B8C2" w14:textId="77777777" w:rsidR="00A1602B" w:rsidRPr="00A84D63" w:rsidRDefault="00A1602B" w:rsidP="00843E48">
            <w:pPr>
              <w:rPr>
                <w:rFonts w:ascii="Calibri" w:hAnsi="Calibri" w:cs="Calibri"/>
                <w:sz w:val="16"/>
                <w:szCs w:val="16"/>
              </w:rPr>
            </w:pPr>
          </w:p>
        </w:tc>
      </w:tr>
      <w:tr w:rsidR="00A1602B" w:rsidRPr="00A84D63" w14:paraId="102DB304"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4CA91774"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xml:space="preserve">náklady spojené s expresnou a leteckou dopravou zo SR a zahraničia </w:t>
            </w:r>
          </w:p>
        </w:tc>
        <w:tc>
          <w:tcPr>
            <w:tcW w:w="1528" w:type="dxa"/>
            <w:vMerge/>
            <w:tcBorders>
              <w:top w:val="nil"/>
              <w:left w:val="single" w:sz="4" w:space="0" w:color="auto"/>
              <w:bottom w:val="single" w:sz="8" w:space="0" w:color="000000"/>
              <w:right w:val="single" w:sz="4" w:space="0" w:color="auto"/>
            </w:tcBorders>
            <w:vAlign w:val="center"/>
            <w:hideMark/>
          </w:tcPr>
          <w:p w14:paraId="0DF5939C"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12C92AD"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4603C9DE"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642D61" w14:textId="77777777" w:rsidR="00A1602B" w:rsidRPr="00A84D63" w:rsidRDefault="00A1602B" w:rsidP="00843E48">
            <w:pPr>
              <w:rPr>
                <w:rFonts w:ascii="Calibri" w:hAnsi="Calibri" w:cs="Calibri"/>
                <w:sz w:val="16"/>
                <w:szCs w:val="16"/>
              </w:rPr>
            </w:pPr>
          </w:p>
        </w:tc>
      </w:tr>
      <w:tr w:rsidR="00A1602B" w:rsidRPr="00A84D63" w14:paraId="62AFD382" w14:textId="77777777" w:rsidTr="00843E48">
        <w:trPr>
          <w:trHeight w:val="42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44394C96"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nočnú prácu, prácu nadčas, v sobotu a nedeľu a počas sviatkov, ako aj expresné príplatky</w:t>
            </w:r>
          </w:p>
        </w:tc>
        <w:tc>
          <w:tcPr>
            <w:tcW w:w="1528" w:type="dxa"/>
            <w:vMerge/>
            <w:tcBorders>
              <w:top w:val="nil"/>
              <w:left w:val="single" w:sz="4" w:space="0" w:color="auto"/>
              <w:bottom w:val="single" w:sz="8" w:space="0" w:color="000000"/>
              <w:right w:val="single" w:sz="4" w:space="0" w:color="auto"/>
            </w:tcBorders>
            <w:vAlign w:val="center"/>
            <w:hideMark/>
          </w:tcPr>
          <w:p w14:paraId="653BEFCE"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76B9F75"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06D11B62"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F1423D8" w14:textId="77777777" w:rsidR="00A1602B" w:rsidRPr="00A84D63" w:rsidRDefault="00A1602B" w:rsidP="00843E48">
            <w:pPr>
              <w:rPr>
                <w:rFonts w:ascii="Calibri" w:hAnsi="Calibri" w:cs="Calibri"/>
                <w:sz w:val="16"/>
                <w:szCs w:val="16"/>
              </w:rPr>
            </w:pPr>
          </w:p>
        </w:tc>
      </w:tr>
      <w:tr w:rsidR="00A1602B" w:rsidRPr="00A84D63" w14:paraId="18B0878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0E520B5B"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cestovné a ubytovacie náklady pre technikov zo zahraničia aj SR</w:t>
            </w:r>
          </w:p>
        </w:tc>
        <w:tc>
          <w:tcPr>
            <w:tcW w:w="1528" w:type="dxa"/>
            <w:vMerge/>
            <w:tcBorders>
              <w:top w:val="nil"/>
              <w:left w:val="single" w:sz="4" w:space="0" w:color="auto"/>
              <w:bottom w:val="single" w:sz="8" w:space="0" w:color="000000"/>
              <w:right w:val="single" w:sz="4" w:space="0" w:color="auto"/>
            </w:tcBorders>
            <w:vAlign w:val="center"/>
            <w:hideMark/>
          </w:tcPr>
          <w:p w14:paraId="7C8A4F76"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11764E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987595F"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87C6EB9" w14:textId="77777777" w:rsidR="00A1602B" w:rsidRPr="00A84D63" w:rsidRDefault="00A1602B" w:rsidP="00843E48">
            <w:pPr>
              <w:rPr>
                <w:rFonts w:ascii="Calibri" w:hAnsi="Calibri" w:cs="Calibri"/>
                <w:sz w:val="16"/>
                <w:szCs w:val="16"/>
              </w:rPr>
            </w:pPr>
          </w:p>
        </w:tc>
      </w:tr>
      <w:tr w:rsidR="00A1602B" w:rsidRPr="00A84D63" w14:paraId="2A0A0733" w14:textId="77777777" w:rsidTr="00843E48">
        <w:trPr>
          <w:trHeight w:val="240"/>
        </w:trPr>
        <w:tc>
          <w:tcPr>
            <w:tcW w:w="3686" w:type="dxa"/>
            <w:tcBorders>
              <w:top w:val="nil"/>
              <w:left w:val="single" w:sz="8" w:space="0" w:color="auto"/>
              <w:bottom w:val="single" w:sz="8" w:space="0" w:color="auto"/>
              <w:right w:val="single" w:sz="4" w:space="0" w:color="auto"/>
            </w:tcBorders>
            <w:shd w:val="clear" w:color="auto" w:fill="auto"/>
            <w:noWrap/>
            <w:vAlign w:val="center"/>
            <w:hideMark/>
          </w:tcPr>
          <w:p w14:paraId="474CE59E"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uniknutú vodu z potrubí /vodné a stočné/</w:t>
            </w:r>
          </w:p>
        </w:tc>
        <w:tc>
          <w:tcPr>
            <w:tcW w:w="1528" w:type="dxa"/>
            <w:vMerge/>
            <w:tcBorders>
              <w:top w:val="nil"/>
              <w:left w:val="single" w:sz="4" w:space="0" w:color="auto"/>
              <w:bottom w:val="single" w:sz="8" w:space="0" w:color="000000"/>
              <w:right w:val="single" w:sz="4" w:space="0" w:color="auto"/>
            </w:tcBorders>
            <w:vAlign w:val="center"/>
            <w:hideMark/>
          </w:tcPr>
          <w:p w14:paraId="6C11BD7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F9F04C7"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1287321E"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679A6B0F" w14:textId="77777777" w:rsidR="00A1602B" w:rsidRPr="00A84D63" w:rsidRDefault="00A1602B" w:rsidP="00843E48">
            <w:pPr>
              <w:rPr>
                <w:rFonts w:ascii="Calibri" w:hAnsi="Calibri" w:cs="Calibri"/>
                <w:sz w:val="16"/>
                <w:szCs w:val="16"/>
              </w:rPr>
            </w:pPr>
          </w:p>
        </w:tc>
      </w:tr>
      <w:tr w:rsidR="00A1602B" w:rsidRPr="00A84D63" w14:paraId="1FA93D66" w14:textId="77777777" w:rsidTr="00843E48">
        <w:trPr>
          <w:trHeight w:val="390"/>
        </w:trPr>
        <w:tc>
          <w:tcPr>
            <w:tcW w:w="8333" w:type="dxa"/>
            <w:gridSpan w:val="4"/>
            <w:tcBorders>
              <w:top w:val="nil"/>
              <w:left w:val="single" w:sz="8" w:space="0" w:color="auto"/>
              <w:bottom w:val="single" w:sz="8" w:space="0" w:color="auto"/>
              <w:right w:val="single" w:sz="4" w:space="0" w:color="auto"/>
            </w:tcBorders>
            <w:shd w:val="clear" w:color="auto" w:fill="auto"/>
            <w:noWrap/>
            <w:vAlign w:val="bottom"/>
            <w:hideMark/>
          </w:tcPr>
          <w:p w14:paraId="5DC306D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701" w:type="dxa"/>
            <w:tcBorders>
              <w:top w:val="nil"/>
              <w:left w:val="nil"/>
              <w:bottom w:val="single" w:sz="8" w:space="0" w:color="auto"/>
              <w:right w:val="single" w:sz="4" w:space="0" w:color="auto"/>
            </w:tcBorders>
            <w:shd w:val="clear" w:color="000000" w:fill="99CCFF"/>
            <w:vAlign w:val="center"/>
            <w:hideMark/>
          </w:tcPr>
          <w:p w14:paraId="1DE9713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BF6B1C">
              <w:rPr>
                <w:rFonts w:ascii="Calibri" w:hAnsi="Calibri" w:cs="Calibri"/>
                <w:b/>
                <w:bCs/>
                <w:color w:val="FF0000"/>
                <w:sz w:val="16"/>
                <w:szCs w:val="16"/>
              </w:rPr>
              <w:t>&lt;vyplní uchádzač &gt;</w:t>
            </w:r>
          </w:p>
        </w:tc>
      </w:tr>
      <w:tr w:rsidR="00A1602B" w:rsidRPr="00A84D63" w14:paraId="5CF2736A" w14:textId="77777777" w:rsidTr="00843E48">
        <w:trPr>
          <w:trHeight w:val="240"/>
        </w:trPr>
        <w:tc>
          <w:tcPr>
            <w:tcW w:w="3686" w:type="dxa"/>
            <w:tcBorders>
              <w:top w:val="nil"/>
              <w:left w:val="nil"/>
              <w:bottom w:val="nil"/>
              <w:right w:val="nil"/>
            </w:tcBorders>
            <w:shd w:val="clear" w:color="auto" w:fill="auto"/>
            <w:noWrap/>
            <w:vAlign w:val="bottom"/>
            <w:hideMark/>
          </w:tcPr>
          <w:p w14:paraId="3AA5338B" w14:textId="77777777" w:rsidR="00A1602B" w:rsidRPr="00A84D63" w:rsidRDefault="00A1602B" w:rsidP="00843E48">
            <w:pPr>
              <w:rPr>
                <w:rFonts w:ascii="Calibri" w:hAnsi="Calibri" w:cs="Calibri"/>
                <w:b/>
                <w:bCs/>
                <w:sz w:val="16"/>
                <w:szCs w:val="16"/>
              </w:rPr>
            </w:pPr>
          </w:p>
        </w:tc>
        <w:tc>
          <w:tcPr>
            <w:tcW w:w="1528" w:type="dxa"/>
            <w:tcBorders>
              <w:top w:val="nil"/>
              <w:left w:val="nil"/>
              <w:bottom w:val="nil"/>
              <w:right w:val="nil"/>
            </w:tcBorders>
            <w:shd w:val="clear" w:color="auto" w:fill="auto"/>
            <w:noWrap/>
            <w:vAlign w:val="bottom"/>
            <w:hideMark/>
          </w:tcPr>
          <w:p w14:paraId="6EB72BE4"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41BC637"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center"/>
            <w:hideMark/>
          </w:tcPr>
          <w:p w14:paraId="388FCD2D" w14:textId="77777777" w:rsidR="00A1602B" w:rsidRPr="00A84D63" w:rsidRDefault="00A1602B" w:rsidP="00843E48">
            <w:pPr>
              <w:jc w:val="center"/>
              <w:rPr>
                <w:sz w:val="20"/>
                <w:szCs w:val="20"/>
              </w:rPr>
            </w:pPr>
          </w:p>
        </w:tc>
        <w:tc>
          <w:tcPr>
            <w:tcW w:w="1701" w:type="dxa"/>
            <w:tcBorders>
              <w:top w:val="nil"/>
              <w:left w:val="nil"/>
              <w:bottom w:val="nil"/>
              <w:right w:val="nil"/>
            </w:tcBorders>
            <w:shd w:val="clear" w:color="auto" w:fill="auto"/>
            <w:vAlign w:val="center"/>
            <w:hideMark/>
          </w:tcPr>
          <w:p w14:paraId="7FBEFCBA" w14:textId="77777777" w:rsidR="00A1602B" w:rsidRPr="00A84D63" w:rsidRDefault="00A1602B" w:rsidP="00843E48">
            <w:pPr>
              <w:rPr>
                <w:sz w:val="20"/>
                <w:szCs w:val="20"/>
              </w:rPr>
            </w:pPr>
          </w:p>
        </w:tc>
      </w:tr>
    </w:tbl>
    <w:p w14:paraId="5C428F7C" w14:textId="77777777" w:rsidR="00A1602B" w:rsidRDefault="00A1602B" w:rsidP="00A1602B">
      <w:pPr>
        <w:spacing w:after="160" w:line="259" w:lineRule="auto"/>
        <w:rPr>
          <w:rFonts w:ascii="Gambria" w:hAnsi="Gambria"/>
          <w:sz w:val="22"/>
          <w:szCs w:val="22"/>
        </w:rPr>
      </w:pPr>
    </w:p>
    <w:p w14:paraId="00876A0F" w14:textId="77777777" w:rsidR="00A1602B" w:rsidRDefault="00A1602B" w:rsidP="00A1602B">
      <w:pPr>
        <w:spacing w:after="160" w:line="259" w:lineRule="auto"/>
        <w:rPr>
          <w:rFonts w:ascii="Gambria" w:hAnsi="Gambria"/>
          <w:sz w:val="22"/>
          <w:szCs w:val="22"/>
        </w:rPr>
      </w:pPr>
      <w:r>
        <w:rPr>
          <w:rFonts w:ascii="Gambria" w:hAnsi="Gambria"/>
          <w:sz w:val="22"/>
          <w:szCs w:val="22"/>
        </w:rPr>
        <w:br w:type="page"/>
      </w:r>
    </w:p>
    <w:tbl>
      <w:tblPr>
        <w:tblW w:w="10101" w:type="dxa"/>
        <w:tblInd w:w="-745" w:type="dxa"/>
        <w:tblCellMar>
          <w:left w:w="70" w:type="dxa"/>
          <w:right w:w="70" w:type="dxa"/>
        </w:tblCellMar>
        <w:tblLook w:val="04A0" w:firstRow="1" w:lastRow="0" w:firstColumn="1" w:lastColumn="0" w:noHBand="0" w:noVBand="1"/>
      </w:tblPr>
      <w:tblGrid>
        <w:gridCol w:w="3722"/>
        <w:gridCol w:w="1559"/>
        <w:gridCol w:w="1560"/>
        <w:gridCol w:w="1701"/>
        <w:gridCol w:w="1559"/>
      </w:tblGrid>
      <w:tr w:rsidR="00A1602B" w:rsidRPr="00A84D63" w14:paraId="57F4C745" w14:textId="77777777" w:rsidTr="00843E48">
        <w:trPr>
          <w:trHeight w:val="240"/>
        </w:trPr>
        <w:tc>
          <w:tcPr>
            <w:tcW w:w="3722" w:type="dxa"/>
            <w:tcBorders>
              <w:top w:val="nil"/>
              <w:left w:val="nil"/>
              <w:bottom w:val="nil"/>
              <w:right w:val="nil"/>
            </w:tcBorders>
            <w:shd w:val="clear" w:color="auto" w:fill="auto"/>
            <w:noWrap/>
            <w:vAlign w:val="bottom"/>
            <w:hideMark/>
          </w:tcPr>
          <w:p w14:paraId="65FC650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lastRenderedPageBreak/>
              <w:t xml:space="preserve">Poistenie pre prípad </w:t>
            </w:r>
            <w:r w:rsidRPr="001F02BF">
              <w:rPr>
                <w:rFonts w:ascii="Calibri" w:hAnsi="Calibri" w:cs="Calibri"/>
                <w:b/>
                <w:bCs/>
                <w:sz w:val="16"/>
                <w:szCs w:val="16"/>
              </w:rPr>
              <w:t xml:space="preserve"> krádeže, lúpeže </w:t>
            </w:r>
            <w:r w:rsidRPr="00A84D63">
              <w:rPr>
                <w:rFonts w:ascii="Calibri" w:hAnsi="Calibri" w:cs="Calibri"/>
                <w:b/>
                <w:bCs/>
                <w:sz w:val="16"/>
                <w:szCs w:val="16"/>
              </w:rPr>
              <w:t>veci  vrátane vandalizmu</w:t>
            </w:r>
          </w:p>
        </w:tc>
        <w:tc>
          <w:tcPr>
            <w:tcW w:w="1559" w:type="dxa"/>
            <w:tcBorders>
              <w:top w:val="nil"/>
              <w:left w:val="nil"/>
              <w:bottom w:val="nil"/>
              <w:right w:val="nil"/>
            </w:tcBorders>
            <w:shd w:val="clear" w:color="auto" w:fill="auto"/>
            <w:noWrap/>
            <w:vAlign w:val="bottom"/>
            <w:hideMark/>
          </w:tcPr>
          <w:p w14:paraId="1EBD1531"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56E2AE9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51510D74"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2D7E0E3B" w14:textId="77777777" w:rsidR="00A1602B" w:rsidRPr="00A84D63" w:rsidRDefault="00A1602B" w:rsidP="00843E48">
            <w:pPr>
              <w:rPr>
                <w:sz w:val="20"/>
                <w:szCs w:val="20"/>
              </w:rPr>
            </w:pPr>
          </w:p>
        </w:tc>
      </w:tr>
      <w:tr w:rsidR="00A1602B" w:rsidRPr="00A84D63" w14:paraId="74015E14"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648D9A1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275DB0D6"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5055CFF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071828DA"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44E3D8CF"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7BC986F1" w14:textId="77777777" w:rsidTr="00843E48">
        <w:trPr>
          <w:trHeight w:val="945"/>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7383202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hnuteľného majetku vrátane strojov, prístrojov a zariadení, DHM, inventáru, dopravných prostriedkov bez EČV, mobiliáru, drobného majetku v používaní a podsúvahovom účte, obstaranie hmotného majetku</w:t>
            </w:r>
          </w:p>
        </w:tc>
        <w:tc>
          <w:tcPr>
            <w:tcW w:w="1559" w:type="dxa"/>
            <w:tcBorders>
              <w:top w:val="nil"/>
              <w:left w:val="nil"/>
              <w:bottom w:val="single" w:sz="4" w:space="0" w:color="auto"/>
              <w:right w:val="single" w:sz="4" w:space="0" w:color="auto"/>
            </w:tcBorders>
            <w:shd w:val="clear" w:color="auto" w:fill="auto"/>
            <w:noWrap/>
            <w:vAlign w:val="center"/>
            <w:hideMark/>
          </w:tcPr>
          <w:p w14:paraId="0875277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41 172 034,49   </w:t>
            </w:r>
          </w:p>
        </w:tc>
        <w:tc>
          <w:tcPr>
            <w:tcW w:w="1560" w:type="dxa"/>
            <w:tcBorders>
              <w:top w:val="nil"/>
              <w:left w:val="nil"/>
              <w:bottom w:val="single" w:sz="4" w:space="0" w:color="auto"/>
              <w:right w:val="single" w:sz="4" w:space="0" w:color="auto"/>
            </w:tcBorders>
            <w:shd w:val="clear" w:color="auto" w:fill="auto"/>
            <w:vAlign w:val="center"/>
            <w:hideMark/>
          </w:tcPr>
          <w:p w14:paraId="117731EF"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701" w:type="dxa"/>
            <w:tcBorders>
              <w:top w:val="nil"/>
              <w:left w:val="nil"/>
              <w:bottom w:val="single" w:sz="4" w:space="0" w:color="auto"/>
              <w:right w:val="single" w:sz="4" w:space="0" w:color="auto"/>
            </w:tcBorders>
            <w:shd w:val="clear" w:color="000000" w:fill="C0C0C0"/>
            <w:vAlign w:val="center"/>
            <w:hideMark/>
          </w:tcPr>
          <w:p w14:paraId="24C3586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7523DC5B"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04A56339" w14:textId="77777777" w:rsidTr="00843E48">
        <w:trPr>
          <w:trHeight w:val="42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7D4ABD5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Stavebné súčasti budov, hál a stavieb vr</w:t>
            </w:r>
            <w:r w:rsidRPr="00BF6B1C">
              <w:rPr>
                <w:rFonts w:ascii="Calibri" w:hAnsi="Calibri" w:cs="Calibri"/>
                <w:b/>
                <w:bCs/>
                <w:sz w:val="16"/>
                <w:szCs w:val="16"/>
              </w:rPr>
              <w:t>átane</w:t>
            </w:r>
            <w:r w:rsidRPr="00A84D63">
              <w:rPr>
                <w:rFonts w:ascii="Calibri" w:hAnsi="Calibri" w:cs="Calibri"/>
                <w:b/>
                <w:bCs/>
                <w:sz w:val="16"/>
                <w:szCs w:val="16"/>
              </w:rPr>
              <w:t xml:space="preserve"> ich príslušenstva</w:t>
            </w:r>
          </w:p>
        </w:tc>
        <w:tc>
          <w:tcPr>
            <w:tcW w:w="1559" w:type="dxa"/>
            <w:tcBorders>
              <w:top w:val="nil"/>
              <w:left w:val="nil"/>
              <w:bottom w:val="single" w:sz="4" w:space="0" w:color="auto"/>
              <w:right w:val="single" w:sz="4" w:space="0" w:color="auto"/>
            </w:tcBorders>
            <w:shd w:val="clear" w:color="auto" w:fill="auto"/>
            <w:noWrap/>
            <w:vAlign w:val="center"/>
            <w:hideMark/>
          </w:tcPr>
          <w:p w14:paraId="374F95B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20 000,00   </w:t>
            </w:r>
          </w:p>
        </w:tc>
        <w:tc>
          <w:tcPr>
            <w:tcW w:w="1560" w:type="dxa"/>
            <w:tcBorders>
              <w:top w:val="nil"/>
              <w:left w:val="nil"/>
              <w:bottom w:val="single" w:sz="4" w:space="0" w:color="auto"/>
              <w:right w:val="single" w:sz="4" w:space="0" w:color="auto"/>
            </w:tcBorders>
            <w:shd w:val="clear" w:color="auto" w:fill="auto"/>
            <w:vAlign w:val="center"/>
            <w:hideMark/>
          </w:tcPr>
          <w:p w14:paraId="032E795A"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1.riziko, nová cena</w:t>
            </w:r>
          </w:p>
        </w:tc>
        <w:tc>
          <w:tcPr>
            <w:tcW w:w="1701" w:type="dxa"/>
            <w:tcBorders>
              <w:top w:val="nil"/>
              <w:left w:val="nil"/>
              <w:bottom w:val="single" w:sz="4" w:space="0" w:color="auto"/>
              <w:right w:val="single" w:sz="4" w:space="0" w:color="auto"/>
            </w:tcBorders>
            <w:shd w:val="clear" w:color="000000" w:fill="C0C0C0"/>
            <w:vAlign w:val="center"/>
            <w:hideMark/>
          </w:tcPr>
          <w:p w14:paraId="28F22134"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6BF0818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150A6424" w14:textId="77777777" w:rsidTr="00843E48">
        <w:trPr>
          <w:trHeight w:val="111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57DC331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vlastných a cudzích hnuteľných vecí - zbierky umeleckých predmetov, </w:t>
            </w:r>
            <w:r w:rsidRPr="00371342">
              <w:rPr>
                <w:rFonts w:ascii="Calibri" w:hAnsi="Calibri" w:cs="Calibri"/>
                <w:b/>
                <w:bCs/>
                <w:sz w:val="16"/>
                <w:szCs w:val="16"/>
              </w:rPr>
              <w:t xml:space="preserve">zbierkové predmety </w:t>
            </w:r>
            <w:r w:rsidRPr="00A84D63">
              <w:rPr>
                <w:rFonts w:ascii="Calibri" w:hAnsi="Calibri" w:cs="Calibri"/>
                <w:b/>
                <w:bCs/>
                <w:sz w:val="16"/>
                <w:szCs w:val="16"/>
              </w:rPr>
              <w:t>(napr.: obrazy, sochy, knihy, hudobné nástroje atď.) s výnimkou vozidiel, ktorým je pridelené EČV, lodí a lietadiel. Vrátane hnuteľných vecí nadobudnutých prostredníctvom fondov EU</w:t>
            </w:r>
          </w:p>
        </w:tc>
        <w:tc>
          <w:tcPr>
            <w:tcW w:w="1559" w:type="dxa"/>
            <w:tcBorders>
              <w:top w:val="nil"/>
              <w:left w:val="nil"/>
              <w:bottom w:val="single" w:sz="4" w:space="0" w:color="auto"/>
              <w:right w:val="single" w:sz="4" w:space="0" w:color="auto"/>
            </w:tcBorders>
            <w:shd w:val="clear" w:color="auto" w:fill="auto"/>
            <w:noWrap/>
            <w:vAlign w:val="center"/>
            <w:hideMark/>
          </w:tcPr>
          <w:p w14:paraId="35A0A15E"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28 140 286,54   </w:t>
            </w:r>
          </w:p>
        </w:tc>
        <w:tc>
          <w:tcPr>
            <w:tcW w:w="1560" w:type="dxa"/>
            <w:tcBorders>
              <w:top w:val="nil"/>
              <w:left w:val="nil"/>
              <w:bottom w:val="single" w:sz="4" w:space="0" w:color="auto"/>
              <w:right w:val="single" w:sz="4" w:space="0" w:color="auto"/>
            </w:tcBorders>
            <w:shd w:val="clear" w:color="auto" w:fill="auto"/>
            <w:vAlign w:val="center"/>
            <w:hideMark/>
          </w:tcPr>
          <w:p w14:paraId="6E5B6CD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701" w:type="dxa"/>
            <w:tcBorders>
              <w:top w:val="nil"/>
              <w:left w:val="nil"/>
              <w:bottom w:val="single" w:sz="4" w:space="0" w:color="auto"/>
              <w:right w:val="single" w:sz="4" w:space="0" w:color="auto"/>
            </w:tcBorders>
            <w:shd w:val="clear" w:color="000000" w:fill="C0C0C0"/>
            <w:vAlign w:val="center"/>
            <w:hideMark/>
          </w:tcPr>
          <w:p w14:paraId="446B37D7"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604A14B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41A6A0A7" w14:textId="77777777" w:rsidTr="00843E48">
        <w:trPr>
          <w:trHeight w:val="495"/>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4AB0658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Peniaze, ceniny, cennosti, stravné lístky a listinné papiere v trezore a pokladniach,</w:t>
            </w:r>
          </w:p>
        </w:tc>
        <w:tc>
          <w:tcPr>
            <w:tcW w:w="1559" w:type="dxa"/>
            <w:tcBorders>
              <w:top w:val="nil"/>
              <w:left w:val="nil"/>
              <w:bottom w:val="single" w:sz="4" w:space="0" w:color="auto"/>
              <w:right w:val="single" w:sz="4" w:space="0" w:color="auto"/>
            </w:tcBorders>
            <w:shd w:val="clear" w:color="auto" w:fill="auto"/>
            <w:noWrap/>
            <w:vAlign w:val="center"/>
            <w:hideMark/>
          </w:tcPr>
          <w:p w14:paraId="6C332169"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25 000,00   </w:t>
            </w:r>
          </w:p>
        </w:tc>
        <w:tc>
          <w:tcPr>
            <w:tcW w:w="1560" w:type="dxa"/>
            <w:tcBorders>
              <w:top w:val="nil"/>
              <w:left w:val="nil"/>
              <w:bottom w:val="single" w:sz="4" w:space="0" w:color="auto"/>
              <w:right w:val="single" w:sz="4" w:space="0" w:color="auto"/>
            </w:tcBorders>
            <w:shd w:val="clear" w:color="auto" w:fill="auto"/>
            <w:vAlign w:val="center"/>
            <w:hideMark/>
          </w:tcPr>
          <w:p w14:paraId="0095BCA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701" w:type="dxa"/>
            <w:tcBorders>
              <w:top w:val="nil"/>
              <w:left w:val="nil"/>
              <w:bottom w:val="single" w:sz="4" w:space="0" w:color="auto"/>
              <w:right w:val="single" w:sz="4" w:space="0" w:color="auto"/>
            </w:tcBorders>
            <w:shd w:val="clear" w:color="000000" w:fill="C0C0C0"/>
            <w:vAlign w:val="center"/>
            <w:hideMark/>
          </w:tcPr>
          <w:p w14:paraId="0B72D764"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4FBDDBD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5B24F0E1" w14:textId="77777777" w:rsidTr="00843E48">
        <w:trPr>
          <w:trHeight w:val="420"/>
        </w:trPr>
        <w:tc>
          <w:tcPr>
            <w:tcW w:w="3722" w:type="dxa"/>
            <w:tcBorders>
              <w:top w:val="nil"/>
              <w:left w:val="single" w:sz="8" w:space="0" w:color="auto"/>
              <w:bottom w:val="single" w:sz="8" w:space="0" w:color="auto"/>
              <w:right w:val="single" w:sz="4" w:space="0" w:color="auto"/>
            </w:tcBorders>
            <w:shd w:val="clear" w:color="auto" w:fill="auto"/>
            <w:noWrap/>
            <w:vAlign w:val="center"/>
            <w:hideMark/>
          </w:tcPr>
          <w:p w14:paraId="306DFFF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Preprava peňazí, cenností a cenín, </w:t>
            </w:r>
          </w:p>
        </w:tc>
        <w:tc>
          <w:tcPr>
            <w:tcW w:w="1559" w:type="dxa"/>
            <w:tcBorders>
              <w:top w:val="nil"/>
              <w:left w:val="nil"/>
              <w:bottom w:val="single" w:sz="8" w:space="0" w:color="auto"/>
              <w:right w:val="single" w:sz="4" w:space="0" w:color="auto"/>
            </w:tcBorders>
            <w:shd w:val="clear" w:color="auto" w:fill="auto"/>
            <w:noWrap/>
            <w:vAlign w:val="center"/>
            <w:hideMark/>
          </w:tcPr>
          <w:p w14:paraId="07022DC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5 000,00   </w:t>
            </w:r>
          </w:p>
        </w:tc>
        <w:tc>
          <w:tcPr>
            <w:tcW w:w="1560" w:type="dxa"/>
            <w:tcBorders>
              <w:top w:val="nil"/>
              <w:left w:val="nil"/>
              <w:bottom w:val="single" w:sz="8" w:space="0" w:color="auto"/>
              <w:right w:val="single" w:sz="4" w:space="0" w:color="auto"/>
            </w:tcBorders>
            <w:shd w:val="clear" w:color="auto" w:fill="auto"/>
            <w:vAlign w:val="center"/>
            <w:hideMark/>
          </w:tcPr>
          <w:p w14:paraId="79A407B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701" w:type="dxa"/>
            <w:tcBorders>
              <w:top w:val="nil"/>
              <w:left w:val="nil"/>
              <w:bottom w:val="single" w:sz="8" w:space="0" w:color="auto"/>
              <w:right w:val="single" w:sz="4" w:space="0" w:color="auto"/>
            </w:tcBorders>
            <w:shd w:val="clear" w:color="000000" w:fill="C0C0C0"/>
            <w:vAlign w:val="center"/>
            <w:hideMark/>
          </w:tcPr>
          <w:p w14:paraId="24C89CB9"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8" w:space="0" w:color="auto"/>
              <w:right w:val="single" w:sz="4" w:space="0" w:color="auto"/>
            </w:tcBorders>
            <w:shd w:val="clear" w:color="auto" w:fill="auto"/>
            <w:vAlign w:val="center"/>
            <w:hideMark/>
          </w:tcPr>
          <w:p w14:paraId="3F31235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AEF54F7" w14:textId="77777777" w:rsidTr="00843E48">
        <w:trPr>
          <w:trHeight w:val="39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3339DDC0"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4DFCEBC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6197E67C" w14:textId="77777777" w:rsidTr="00843E48">
        <w:trPr>
          <w:trHeight w:val="240"/>
        </w:trPr>
        <w:tc>
          <w:tcPr>
            <w:tcW w:w="3722" w:type="dxa"/>
            <w:tcBorders>
              <w:top w:val="nil"/>
              <w:left w:val="nil"/>
              <w:bottom w:val="nil"/>
              <w:right w:val="nil"/>
            </w:tcBorders>
            <w:shd w:val="clear" w:color="auto" w:fill="auto"/>
            <w:noWrap/>
            <w:vAlign w:val="bottom"/>
            <w:hideMark/>
          </w:tcPr>
          <w:p w14:paraId="4A9B6FBB"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481A3745"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30C71FD8"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621D69C6"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1D6FB5A3" w14:textId="77777777" w:rsidR="00A1602B" w:rsidRPr="00A84D63" w:rsidRDefault="00A1602B" w:rsidP="00843E48">
            <w:pPr>
              <w:rPr>
                <w:sz w:val="20"/>
                <w:szCs w:val="20"/>
              </w:rPr>
            </w:pPr>
          </w:p>
        </w:tc>
      </w:tr>
      <w:tr w:rsidR="00A1602B" w:rsidRPr="00A84D63" w14:paraId="2EE62887" w14:textId="77777777" w:rsidTr="00843E48">
        <w:trPr>
          <w:trHeight w:val="240"/>
        </w:trPr>
        <w:tc>
          <w:tcPr>
            <w:tcW w:w="3722" w:type="dxa"/>
            <w:tcBorders>
              <w:top w:val="nil"/>
              <w:left w:val="nil"/>
              <w:bottom w:val="nil"/>
              <w:right w:val="nil"/>
            </w:tcBorders>
            <w:shd w:val="clear" w:color="auto" w:fill="auto"/>
            <w:noWrap/>
            <w:vAlign w:val="bottom"/>
            <w:hideMark/>
          </w:tcPr>
          <w:p w14:paraId="1B720CB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pre prípad poškodenia alebo zničenia skla</w:t>
            </w:r>
          </w:p>
        </w:tc>
        <w:tc>
          <w:tcPr>
            <w:tcW w:w="1559" w:type="dxa"/>
            <w:tcBorders>
              <w:top w:val="nil"/>
              <w:left w:val="nil"/>
              <w:bottom w:val="nil"/>
              <w:right w:val="nil"/>
            </w:tcBorders>
            <w:shd w:val="clear" w:color="auto" w:fill="auto"/>
            <w:noWrap/>
            <w:vAlign w:val="bottom"/>
            <w:hideMark/>
          </w:tcPr>
          <w:p w14:paraId="015DE6DA"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0A6DF90A"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37F79ED2"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3194A762" w14:textId="77777777" w:rsidR="00A1602B" w:rsidRPr="00A84D63" w:rsidRDefault="00A1602B" w:rsidP="00843E48">
            <w:pPr>
              <w:rPr>
                <w:sz w:val="20"/>
                <w:szCs w:val="20"/>
              </w:rPr>
            </w:pPr>
          </w:p>
        </w:tc>
      </w:tr>
      <w:tr w:rsidR="00A1602B" w:rsidRPr="00A84D63" w14:paraId="1202089E"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4EAD9949"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74DE61F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1261B992"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4A18D25B"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354ACF5E"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28F186AE" w14:textId="77777777" w:rsidTr="00843E48">
        <w:trPr>
          <w:trHeight w:val="1155"/>
        </w:trPr>
        <w:tc>
          <w:tcPr>
            <w:tcW w:w="3722" w:type="dxa"/>
            <w:tcBorders>
              <w:top w:val="nil"/>
              <w:left w:val="single" w:sz="8" w:space="0" w:color="auto"/>
              <w:bottom w:val="single" w:sz="8" w:space="0" w:color="auto"/>
              <w:right w:val="single" w:sz="4" w:space="0" w:color="auto"/>
            </w:tcBorders>
            <w:shd w:val="clear" w:color="auto" w:fill="auto"/>
            <w:vAlign w:val="bottom"/>
            <w:hideMark/>
          </w:tcPr>
          <w:p w14:paraId="7311431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pevne vsadeného alebo osadeného skla vypĺňajúceho vonkajšie otvory budov a stavieb /vrátane </w:t>
            </w:r>
            <w:r w:rsidRPr="00BF6B1C">
              <w:rPr>
                <w:rFonts w:ascii="Calibri" w:hAnsi="Calibri" w:cs="Calibri"/>
                <w:b/>
                <w:bCs/>
                <w:sz w:val="16"/>
                <w:szCs w:val="16"/>
              </w:rPr>
              <w:t>bezpečnostných fólií, nápisov a malieb/, súbor sklenených pultov, sklenených vitrín, sklenených stien vo</w:t>
            </w:r>
            <w:r w:rsidRPr="00A84D63">
              <w:rPr>
                <w:rFonts w:ascii="Calibri" w:hAnsi="Calibri" w:cs="Calibri"/>
                <w:b/>
                <w:bCs/>
                <w:sz w:val="16"/>
                <w:szCs w:val="16"/>
              </w:rPr>
              <w:t xml:space="preserve"> vnútri budov, sklá na informačných tabuliach, svetelné a neónové nápisy alebo reklamy </w:t>
            </w:r>
          </w:p>
        </w:tc>
        <w:tc>
          <w:tcPr>
            <w:tcW w:w="1559" w:type="dxa"/>
            <w:tcBorders>
              <w:top w:val="nil"/>
              <w:left w:val="nil"/>
              <w:bottom w:val="single" w:sz="8" w:space="0" w:color="auto"/>
              <w:right w:val="single" w:sz="4" w:space="0" w:color="auto"/>
            </w:tcBorders>
            <w:shd w:val="clear" w:color="auto" w:fill="auto"/>
            <w:vAlign w:val="center"/>
            <w:hideMark/>
          </w:tcPr>
          <w:p w14:paraId="78483500"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15 000,00   </w:t>
            </w:r>
          </w:p>
        </w:tc>
        <w:tc>
          <w:tcPr>
            <w:tcW w:w="1560" w:type="dxa"/>
            <w:tcBorders>
              <w:top w:val="nil"/>
              <w:left w:val="nil"/>
              <w:bottom w:val="single" w:sz="8" w:space="0" w:color="auto"/>
              <w:right w:val="single" w:sz="4" w:space="0" w:color="auto"/>
            </w:tcBorders>
            <w:shd w:val="clear" w:color="auto" w:fill="auto"/>
            <w:vAlign w:val="center"/>
            <w:hideMark/>
          </w:tcPr>
          <w:p w14:paraId="05264B3F"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1.riziko, nová cena </w:t>
            </w:r>
          </w:p>
        </w:tc>
        <w:tc>
          <w:tcPr>
            <w:tcW w:w="1701" w:type="dxa"/>
            <w:tcBorders>
              <w:top w:val="nil"/>
              <w:left w:val="nil"/>
              <w:bottom w:val="single" w:sz="8" w:space="0" w:color="auto"/>
              <w:right w:val="single" w:sz="4" w:space="0" w:color="auto"/>
            </w:tcBorders>
            <w:shd w:val="clear" w:color="000000" w:fill="C0C0C0"/>
            <w:vAlign w:val="center"/>
            <w:hideMark/>
          </w:tcPr>
          <w:p w14:paraId="2921684F"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8" w:space="0" w:color="auto"/>
              <w:right w:val="single" w:sz="4" w:space="0" w:color="auto"/>
            </w:tcBorders>
            <w:shd w:val="clear" w:color="auto" w:fill="auto"/>
            <w:vAlign w:val="center"/>
            <w:hideMark/>
          </w:tcPr>
          <w:p w14:paraId="01AB6FED"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4A42F639" w14:textId="77777777" w:rsidTr="00843E48">
        <w:trPr>
          <w:trHeight w:val="24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54C881C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2B2875FB"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6F0E28A0" w14:textId="77777777" w:rsidTr="00843E48">
        <w:trPr>
          <w:trHeight w:val="240"/>
        </w:trPr>
        <w:tc>
          <w:tcPr>
            <w:tcW w:w="3722" w:type="dxa"/>
            <w:tcBorders>
              <w:top w:val="nil"/>
              <w:left w:val="nil"/>
              <w:bottom w:val="nil"/>
              <w:right w:val="nil"/>
            </w:tcBorders>
            <w:shd w:val="clear" w:color="auto" w:fill="auto"/>
            <w:noWrap/>
            <w:vAlign w:val="bottom"/>
            <w:hideMark/>
          </w:tcPr>
          <w:p w14:paraId="05ECD2F6"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6965CA35"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10B3EDB"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277704BE"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1BFDB4CF" w14:textId="77777777" w:rsidR="00A1602B" w:rsidRPr="00A84D63" w:rsidRDefault="00A1602B" w:rsidP="00843E48">
            <w:pPr>
              <w:rPr>
                <w:sz w:val="20"/>
                <w:szCs w:val="20"/>
              </w:rPr>
            </w:pPr>
          </w:p>
        </w:tc>
      </w:tr>
      <w:tr w:rsidR="00A1602B" w:rsidRPr="00A84D63" w14:paraId="701F899C" w14:textId="77777777" w:rsidTr="00843E48">
        <w:trPr>
          <w:trHeight w:val="240"/>
        </w:trPr>
        <w:tc>
          <w:tcPr>
            <w:tcW w:w="3722" w:type="dxa"/>
            <w:tcBorders>
              <w:top w:val="nil"/>
              <w:left w:val="nil"/>
              <w:bottom w:val="nil"/>
              <w:right w:val="nil"/>
            </w:tcBorders>
            <w:shd w:val="clear" w:color="auto" w:fill="auto"/>
            <w:noWrap/>
            <w:vAlign w:val="bottom"/>
            <w:hideMark/>
          </w:tcPr>
          <w:p w14:paraId="0D3965E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strojov a elektroniky</w:t>
            </w:r>
          </w:p>
        </w:tc>
        <w:tc>
          <w:tcPr>
            <w:tcW w:w="1559" w:type="dxa"/>
            <w:tcBorders>
              <w:top w:val="nil"/>
              <w:left w:val="nil"/>
              <w:bottom w:val="nil"/>
              <w:right w:val="nil"/>
            </w:tcBorders>
            <w:shd w:val="clear" w:color="auto" w:fill="auto"/>
            <w:noWrap/>
            <w:vAlign w:val="bottom"/>
            <w:hideMark/>
          </w:tcPr>
          <w:p w14:paraId="6E06C34D"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147F5B42"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74DCB73C"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526E64D8" w14:textId="77777777" w:rsidR="00A1602B" w:rsidRPr="00A84D63" w:rsidRDefault="00A1602B" w:rsidP="00843E48">
            <w:pPr>
              <w:rPr>
                <w:sz w:val="20"/>
                <w:szCs w:val="20"/>
              </w:rPr>
            </w:pPr>
          </w:p>
        </w:tc>
      </w:tr>
      <w:tr w:rsidR="00A1602B" w:rsidRPr="00A84D63" w14:paraId="58499523"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04EF0908"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613A25FC"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0ED0299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62D82EB1"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1A8415EB"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3E6C1397" w14:textId="77777777" w:rsidTr="00843E48">
        <w:trPr>
          <w:trHeight w:val="69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19EB457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strojov, pojazdných pracovných strojov, prístrojov a zariadení, elektroniky a technologického vybavenia budov, hál a stavieb - strojné a elektronické príslušenstvo</w:t>
            </w:r>
          </w:p>
        </w:tc>
        <w:tc>
          <w:tcPr>
            <w:tcW w:w="1559" w:type="dxa"/>
            <w:tcBorders>
              <w:top w:val="nil"/>
              <w:left w:val="nil"/>
              <w:bottom w:val="single" w:sz="4" w:space="0" w:color="auto"/>
              <w:right w:val="single" w:sz="4" w:space="0" w:color="auto"/>
            </w:tcBorders>
            <w:shd w:val="clear" w:color="auto" w:fill="auto"/>
            <w:noWrap/>
            <w:vAlign w:val="center"/>
            <w:hideMark/>
          </w:tcPr>
          <w:p w14:paraId="71D4D9B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33 000,00   </w:t>
            </w:r>
          </w:p>
        </w:tc>
        <w:tc>
          <w:tcPr>
            <w:tcW w:w="1560" w:type="dxa"/>
            <w:tcBorders>
              <w:top w:val="nil"/>
              <w:left w:val="nil"/>
              <w:bottom w:val="single" w:sz="4" w:space="0" w:color="auto"/>
              <w:right w:val="single" w:sz="4" w:space="0" w:color="auto"/>
            </w:tcBorders>
            <w:shd w:val="clear" w:color="auto" w:fill="auto"/>
            <w:vAlign w:val="center"/>
            <w:hideMark/>
          </w:tcPr>
          <w:p w14:paraId="0DB057F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1.riziko, nová cena </w:t>
            </w:r>
          </w:p>
        </w:tc>
        <w:tc>
          <w:tcPr>
            <w:tcW w:w="1701" w:type="dxa"/>
            <w:tcBorders>
              <w:top w:val="nil"/>
              <w:left w:val="nil"/>
              <w:bottom w:val="single" w:sz="4" w:space="0" w:color="auto"/>
              <w:right w:val="single" w:sz="4" w:space="0" w:color="auto"/>
            </w:tcBorders>
            <w:shd w:val="clear" w:color="000000" w:fill="C0C0C0"/>
            <w:vAlign w:val="center"/>
            <w:hideMark/>
          </w:tcPr>
          <w:p w14:paraId="412C1B9D"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542C314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46801052"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53385FA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Demolačné, demontážne a remontážne náklady</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BB1ED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15 000,00   </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9A809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limit plnenia </w:t>
            </w:r>
          </w:p>
        </w:tc>
        <w:tc>
          <w:tcPr>
            <w:tcW w:w="1701" w:type="dxa"/>
            <w:vMerge w:val="restart"/>
            <w:tcBorders>
              <w:top w:val="nil"/>
              <w:left w:val="single" w:sz="4" w:space="0" w:color="auto"/>
              <w:bottom w:val="single" w:sz="8" w:space="0" w:color="000000"/>
              <w:right w:val="single" w:sz="4" w:space="0" w:color="auto"/>
            </w:tcBorders>
            <w:shd w:val="clear" w:color="000000" w:fill="C0C0C0"/>
            <w:noWrap/>
            <w:vAlign w:val="center"/>
            <w:hideMark/>
          </w:tcPr>
          <w:p w14:paraId="0743BE9B"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F3F80E"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3E2BB483"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39FEEE75"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posudkového znalca</w:t>
            </w:r>
          </w:p>
        </w:tc>
        <w:tc>
          <w:tcPr>
            <w:tcW w:w="1559" w:type="dxa"/>
            <w:vMerge/>
            <w:tcBorders>
              <w:top w:val="nil"/>
              <w:left w:val="single" w:sz="4" w:space="0" w:color="auto"/>
              <w:bottom w:val="single" w:sz="8" w:space="0" w:color="000000"/>
              <w:right w:val="single" w:sz="4" w:space="0" w:color="auto"/>
            </w:tcBorders>
            <w:vAlign w:val="center"/>
            <w:hideMark/>
          </w:tcPr>
          <w:p w14:paraId="040EE216"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A0428D4"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C9F27C2"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20C4EFAE" w14:textId="77777777" w:rsidR="00A1602B" w:rsidRPr="00A84D63" w:rsidRDefault="00A1602B" w:rsidP="00843E48">
            <w:pPr>
              <w:rPr>
                <w:rFonts w:ascii="Calibri" w:hAnsi="Calibri" w:cs="Calibri"/>
                <w:sz w:val="16"/>
                <w:szCs w:val="16"/>
              </w:rPr>
            </w:pPr>
          </w:p>
        </w:tc>
      </w:tr>
      <w:tr w:rsidR="00A1602B" w:rsidRPr="00A84D63" w14:paraId="6268C1BA"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2DB8D85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hľadanie príčiny škody</w:t>
            </w:r>
          </w:p>
        </w:tc>
        <w:tc>
          <w:tcPr>
            <w:tcW w:w="1559" w:type="dxa"/>
            <w:vMerge/>
            <w:tcBorders>
              <w:top w:val="nil"/>
              <w:left w:val="single" w:sz="4" w:space="0" w:color="auto"/>
              <w:bottom w:val="single" w:sz="8" w:space="0" w:color="000000"/>
              <w:right w:val="single" w:sz="4" w:space="0" w:color="auto"/>
            </w:tcBorders>
            <w:vAlign w:val="center"/>
            <w:hideMark/>
          </w:tcPr>
          <w:p w14:paraId="274F3CEC"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5E0E4A1"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FAFC57C"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5380D72" w14:textId="77777777" w:rsidR="00A1602B" w:rsidRPr="00A84D63" w:rsidRDefault="00A1602B" w:rsidP="00843E48">
            <w:pPr>
              <w:rPr>
                <w:rFonts w:ascii="Calibri" w:hAnsi="Calibri" w:cs="Calibri"/>
                <w:sz w:val="16"/>
                <w:szCs w:val="16"/>
              </w:rPr>
            </w:pPr>
          </w:p>
        </w:tc>
      </w:tr>
      <w:tr w:rsidR="00A1602B" w:rsidRPr="00A84D63" w14:paraId="7E147B1B"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67DCEB5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zemné a výkopové práce</w:t>
            </w:r>
          </w:p>
        </w:tc>
        <w:tc>
          <w:tcPr>
            <w:tcW w:w="1559" w:type="dxa"/>
            <w:vMerge/>
            <w:tcBorders>
              <w:top w:val="nil"/>
              <w:left w:val="single" w:sz="4" w:space="0" w:color="auto"/>
              <w:bottom w:val="single" w:sz="8" w:space="0" w:color="000000"/>
              <w:right w:val="single" w:sz="4" w:space="0" w:color="auto"/>
            </w:tcBorders>
            <w:vAlign w:val="center"/>
            <w:hideMark/>
          </w:tcPr>
          <w:p w14:paraId="213C47BD"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098D1D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21B5DC3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8CE515E" w14:textId="77777777" w:rsidR="00A1602B" w:rsidRPr="00A84D63" w:rsidRDefault="00A1602B" w:rsidP="00843E48">
            <w:pPr>
              <w:rPr>
                <w:rFonts w:ascii="Calibri" w:hAnsi="Calibri" w:cs="Calibri"/>
                <w:sz w:val="16"/>
                <w:szCs w:val="16"/>
              </w:rPr>
            </w:pPr>
          </w:p>
        </w:tc>
      </w:tr>
      <w:tr w:rsidR="00A1602B" w:rsidRPr="00A84D63" w14:paraId="3CB0BB53"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72C3B397"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spojené s dodatočnými, projektovými a plánovacími prácami</w:t>
            </w:r>
          </w:p>
        </w:tc>
        <w:tc>
          <w:tcPr>
            <w:tcW w:w="1559" w:type="dxa"/>
            <w:vMerge/>
            <w:tcBorders>
              <w:top w:val="nil"/>
              <w:left w:val="single" w:sz="4" w:space="0" w:color="auto"/>
              <w:bottom w:val="single" w:sz="8" w:space="0" w:color="000000"/>
              <w:right w:val="single" w:sz="4" w:space="0" w:color="auto"/>
            </w:tcBorders>
            <w:vAlign w:val="center"/>
            <w:hideMark/>
          </w:tcPr>
          <w:p w14:paraId="58CDA09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395A62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7F131674"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1A515182" w14:textId="77777777" w:rsidR="00A1602B" w:rsidRPr="00A84D63" w:rsidRDefault="00A1602B" w:rsidP="00843E48">
            <w:pPr>
              <w:rPr>
                <w:rFonts w:ascii="Calibri" w:hAnsi="Calibri" w:cs="Calibri"/>
                <w:sz w:val="16"/>
                <w:szCs w:val="16"/>
              </w:rPr>
            </w:pPr>
          </w:p>
        </w:tc>
      </w:tr>
      <w:tr w:rsidR="00A1602B" w:rsidRPr="00A84D63" w14:paraId="504D3E01" w14:textId="77777777" w:rsidTr="00843E48">
        <w:trPr>
          <w:trHeight w:val="225"/>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630F237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spojené s expresnou a leteckou dopravou z SR a zahraničia</w:t>
            </w:r>
          </w:p>
        </w:tc>
        <w:tc>
          <w:tcPr>
            <w:tcW w:w="1559" w:type="dxa"/>
            <w:vMerge/>
            <w:tcBorders>
              <w:top w:val="nil"/>
              <w:left w:val="single" w:sz="4" w:space="0" w:color="auto"/>
              <w:bottom w:val="single" w:sz="8" w:space="0" w:color="000000"/>
              <w:right w:val="single" w:sz="4" w:space="0" w:color="auto"/>
            </w:tcBorders>
            <w:vAlign w:val="center"/>
            <w:hideMark/>
          </w:tcPr>
          <w:p w14:paraId="56D13F1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46D1BAF"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58CBDE5E"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201E952A" w14:textId="77777777" w:rsidR="00A1602B" w:rsidRPr="00A84D63" w:rsidRDefault="00A1602B" w:rsidP="00843E48">
            <w:pPr>
              <w:rPr>
                <w:rFonts w:ascii="Calibri" w:hAnsi="Calibri" w:cs="Calibri"/>
                <w:sz w:val="16"/>
                <w:szCs w:val="16"/>
              </w:rPr>
            </w:pPr>
          </w:p>
        </w:tc>
      </w:tr>
      <w:tr w:rsidR="00A1602B" w:rsidRPr="00A84D63" w14:paraId="368F2002" w14:textId="77777777" w:rsidTr="00843E48">
        <w:trPr>
          <w:trHeight w:val="45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3E508CB9"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nočnú prácu, prácu nadčas, v sobotu a nedeľu a počas sviatkov, ako aj expresné príplatky</w:t>
            </w:r>
          </w:p>
        </w:tc>
        <w:tc>
          <w:tcPr>
            <w:tcW w:w="1559" w:type="dxa"/>
            <w:vMerge/>
            <w:tcBorders>
              <w:top w:val="nil"/>
              <w:left w:val="single" w:sz="4" w:space="0" w:color="auto"/>
              <w:bottom w:val="single" w:sz="8" w:space="0" w:color="000000"/>
              <w:right w:val="single" w:sz="4" w:space="0" w:color="auto"/>
            </w:tcBorders>
            <w:vAlign w:val="center"/>
            <w:hideMark/>
          </w:tcPr>
          <w:p w14:paraId="33335F5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4DC4C3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2263BC42"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6739FC40" w14:textId="77777777" w:rsidR="00A1602B" w:rsidRPr="00A84D63" w:rsidRDefault="00A1602B" w:rsidP="00843E48">
            <w:pPr>
              <w:rPr>
                <w:rFonts w:ascii="Calibri" w:hAnsi="Calibri" w:cs="Calibri"/>
                <w:sz w:val="16"/>
                <w:szCs w:val="16"/>
              </w:rPr>
            </w:pPr>
          </w:p>
        </w:tc>
      </w:tr>
      <w:tr w:rsidR="00A1602B" w:rsidRPr="00A84D63" w14:paraId="0A253779" w14:textId="77777777" w:rsidTr="00843E48">
        <w:trPr>
          <w:trHeight w:val="465"/>
        </w:trPr>
        <w:tc>
          <w:tcPr>
            <w:tcW w:w="3722" w:type="dxa"/>
            <w:tcBorders>
              <w:top w:val="nil"/>
              <w:left w:val="single" w:sz="8" w:space="0" w:color="auto"/>
              <w:bottom w:val="single" w:sz="8" w:space="0" w:color="auto"/>
              <w:right w:val="single" w:sz="4" w:space="0" w:color="auto"/>
            </w:tcBorders>
            <w:shd w:val="clear" w:color="auto" w:fill="auto"/>
            <w:vAlign w:val="bottom"/>
            <w:hideMark/>
          </w:tcPr>
          <w:p w14:paraId="2BCBB0C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cestovné a ubytovacie náklady pre technikov zo zahraničia aj SR</w:t>
            </w:r>
          </w:p>
        </w:tc>
        <w:tc>
          <w:tcPr>
            <w:tcW w:w="1559" w:type="dxa"/>
            <w:vMerge/>
            <w:tcBorders>
              <w:top w:val="nil"/>
              <w:left w:val="single" w:sz="4" w:space="0" w:color="auto"/>
              <w:bottom w:val="single" w:sz="8" w:space="0" w:color="000000"/>
              <w:right w:val="single" w:sz="4" w:space="0" w:color="auto"/>
            </w:tcBorders>
            <w:vAlign w:val="center"/>
            <w:hideMark/>
          </w:tcPr>
          <w:p w14:paraId="4048FFF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B91238A"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0D396E"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0860F1B4" w14:textId="77777777" w:rsidR="00A1602B" w:rsidRPr="00A84D63" w:rsidRDefault="00A1602B" w:rsidP="00843E48">
            <w:pPr>
              <w:rPr>
                <w:rFonts w:ascii="Calibri" w:hAnsi="Calibri" w:cs="Calibri"/>
                <w:sz w:val="16"/>
                <w:szCs w:val="16"/>
              </w:rPr>
            </w:pPr>
          </w:p>
        </w:tc>
      </w:tr>
      <w:tr w:rsidR="00A1602B" w:rsidRPr="00A84D63" w14:paraId="4E8CC672" w14:textId="77777777" w:rsidTr="00843E48">
        <w:trPr>
          <w:trHeight w:val="27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50CDCF7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029CA5AE"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051A3424" w14:textId="77777777" w:rsidTr="00843E48">
        <w:trPr>
          <w:trHeight w:val="240"/>
        </w:trPr>
        <w:tc>
          <w:tcPr>
            <w:tcW w:w="3722" w:type="dxa"/>
            <w:tcBorders>
              <w:top w:val="nil"/>
              <w:left w:val="nil"/>
              <w:bottom w:val="nil"/>
              <w:right w:val="nil"/>
            </w:tcBorders>
            <w:shd w:val="clear" w:color="auto" w:fill="auto"/>
            <w:noWrap/>
            <w:vAlign w:val="bottom"/>
            <w:hideMark/>
          </w:tcPr>
          <w:p w14:paraId="09A5F323"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3E6D4986"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1AA824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0554CD84"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215CEDC4" w14:textId="77777777" w:rsidR="00A1602B" w:rsidRPr="00A84D63" w:rsidRDefault="00A1602B" w:rsidP="00843E48">
            <w:pPr>
              <w:rPr>
                <w:sz w:val="20"/>
                <w:szCs w:val="20"/>
              </w:rPr>
            </w:pPr>
          </w:p>
        </w:tc>
      </w:tr>
    </w:tbl>
    <w:p w14:paraId="594EF94B" w14:textId="77777777" w:rsidR="00A1602B" w:rsidRDefault="00A1602B" w:rsidP="00A1602B">
      <w:pPr>
        <w:spacing w:after="160" w:line="259" w:lineRule="auto"/>
      </w:pPr>
      <w:r w:rsidRPr="00EF70E1">
        <w:br w:type="page"/>
      </w:r>
    </w:p>
    <w:tbl>
      <w:tblPr>
        <w:tblW w:w="9774" w:type="dxa"/>
        <w:tblInd w:w="-418" w:type="dxa"/>
        <w:tblCellMar>
          <w:left w:w="70" w:type="dxa"/>
          <w:right w:w="70" w:type="dxa"/>
        </w:tblCellMar>
        <w:tblLook w:val="04A0" w:firstRow="1" w:lastRow="0" w:firstColumn="1" w:lastColumn="0" w:noHBand="0" w:noVBand="1"/>
      </w:tblPr>
      <w:tblGrid>
        <w:gridCol w:w="3395"/>
        <w:gridCol w:w="785"/>
        <w:gridCol w:w="774"/>
        <w:gridCol w:w="1560"/>
        <w:gridCol w:w="403"/>
        <w:gridCol w:w="1298"/>
        <w:gridCol w:w="1559"/>
      </w:tblGrid>
      <w:tr w:rsidR="00A1602B" w:rsidRPr="00A302F3" w14:paraId="08CCD715" w14:textId="77777777" w:rsidTr="00843E48">
        <w:trPr>
          <w:trHeight w:val="136"/>
        </w:trPr>
        <w:tc>
          <w:tcPr>
            <w:tcW w:w="3395" w:type="dxa"/>
            <w:tcBorders>
              <w:top w:val="nil"/>
              <w:left w:val="nil"/>
              <w:bottom w:val="nil"/>
              <w:right w:val="nil"/>
            </w:tcBorders>
            <w:shd w:val="clear" w:color="auto" w:fill="auto"/>
            <w:noWrap/>
            <w:vAlign w:val="bottom"/>
            <w:hideMark/>
          </w:tcPr>
          <w:p w14:paraId="45BE9AE2"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lastRenderedPageBreak/>
              <w:t xml:space="preserve">Poistenie zodpovednosti za škodu </w:t>
            </w:r>
          </w:p>
        </w:tc>
        <w:tc>
          <w:tcPr>
            <w:tcW w:w="1559" w:type="dxa"/>
            <w:gridSpan w:val="2"/>
            <w:tcBorders>
              <w:top w:val="nil"/>
              <w:left w:val="nil"/>
              <w:bottom w:val="nil"/>
              <w:right w:val="nil"/>
            </w:tcBorders>
            <w:shd w:val="clear" w:color="auto" w:fill="auto"/>
            <w:noWrap/>
            <w:vAlign w:val="bottom"/>
            <w:hideMark/>
          </w:tcPr>
          <w:p w14:paraId="3C48B029" w14:textId="77777777" w:rsidR="00A1602B" w:rsidRPr="00A302F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noWrap/>
            <w:vAlign w:val="bottom"/>
            <w:hideMark/>
          </w:tcPr>
          <w:p w14:paraId="4B9AE97D" w14:textId="77777777" w:rsidR="00A1602B" w:rsidRPr="00A302F3" w:rsidRDefault="00A1602B" w:rsidP="00843E48">
            <w:pPr>
              <w:rPr>
                <w:sz w:val="20"/>
                <w:szCs w:val="20"/>
              </w:rPr>
            </w:pPr>
          </w:p>
        </w:tc>
        <w:tc>
          <w:tcPr>
            <w:tcW w:w="1701" w:type="dxa"/>
            <w:gridSpan w:val="2"/>
            <w:tcBorders>
              <w:top w:val="nil"/>
              <w:left w:val="nil"/>
              <w:bottom w:val="nil"/>
              <w:right w:val="nil"/>
            </w:tcBorders>
            <w:shd w:val="clear" w:color="auto" w:fill="auto"/>
            <w:noWrap/>
            <w:vAlign w:val="bottom"/>
            <w:hideMark/>
          </w:tcPr>
          <w:p w14:paraId="10FC3D06" w14:textId="77777777" w:rsidR="00A1602B" w:rsidRPr="00A302F3" w:rsidRDefault="00A1602B" w:rsidP="00843E48">
            <w:pPr>
              <w:jc w:val="center"/>
              <w:rPr>
                <w:sz w:val="20"/>
                <w:szCs w:val="20"/>
              </w:rPr>
            </w:pPr>
          </w:p>
        </w:tc>
        <w:tc>
          <w:tcPr>
            <w:tcW w:w="1559" w:type="dxa"/>
            <w:tcBorders>
              <w:top w:val="nil"/>
              <w:left w:val="nil"/>
              <w:bottom w:val="nil"/>
              <w:right w:val="nil"/>
            </w:tcBorders>
            <w:shd w:val="clear" w:color="auto" w:fill="auto"/>
            <w:noWrap/>
            <w:vAlign w:val="bottom"/>
            <w:hideMark/>
          </w:tcPr>
          <w:p w14:paraId="37BDD623" w14:textId="77777777" w:rsidR="00A1602B" w:rsidRPr="00A302F3" w:rsidRDefault="00A1602B" w:rsidP="00843E48">
            <w:pPr>
              <w:jc w:val="right"/>
              <w:rPr>
                <w:rFonts w:ascii="Arial" w:hAnsi="Arial" w:cs="Arial"/>
                <w:b/>
                <w:bCs/>
                <w:sz w:val="16"/>
                <w:szCs w:val="16"/>
              </w:rPr>
            </w:pPr>
            <w:r w:rsidRPr="00A302F3">
              <w:rPr>
                <w:rFonts w:ascii="Arial" w:hAnsi="Arial" w:cs="Arial"/>
                <w:b/>
                <w:bCs/>
                <w:sz w:val="16"/>
                <w:szCs w:val="16"/>
              </w:rPr>
              <w:t xml:space="preserve"> Tabuľka č. 2 </w:t>
            </w:r>
          </w:p>
        </w:tc>
      </w:tr>
      <w:tr w:rsidR="00A1602B" w:rsidRPr="00A302F3" w14:paraId="737E9D31" w14:textId="77777777" w:rsidTr="00843E48">
        <w:trPr>
          <w:cantSplit/>
          <w:trHeight w:val="611"/>
        </w:trPr>
        <w:tc>
          <w:tcPr>
            <w:tcW w:w="339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563F65A"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Predmet poistenia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6EEBD99"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Poistná suma</w:t>
            </w:r>
          </w:p>
        </w:tc>
        <w:tc>
          <w:tcPr>
            <w:tcW w:w="15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FEC8DCC"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Spôsob poistenia</w:t>
            </w:r>
          </w:p>
        </w:tc>
        <w:tc>
          <w:tcPr>
            <w:tcW w:w="1701" w:type="dxa"/>
            <w:gridSpan w:val="2"/>
            <w:tcBorders>
              <w:top w:val="single" w:sz="4" w:space="0" w:color="auto"/>
              <w:left w:val="single" w:sz="4" w:space="0" w:color="auto"/>
              <w:bottom w:val="single" w:sz="4" w:space="0" w:color="000000"/>
              <w:right w:val="single" w:sz="4" w:space="0" w:color="auto"/>
            </w:tcBorders>
            <w:shd w:val="clear" w:color="000000" w:fill="C0C0C0"/>
            <w:vAlign w:val="bottom"/>
            <w:hideMark/>
          </w:tcPr>
          <w:p w14:paraId="51087E36" w14:textId="77777777" w:rsidR="00A1602B" w:rsidRPr="00BF6B1C" w:rsidRDefault="00A1602B" w:rsidP="00843E48">
            <w:pPr>
              <w:jc w:val="center"/>
              <w:rPr>
                <w:rFonts w:ascii="Calibri" w:hAnsi="Calibri" w:cs="Calibri"/>
                <w:b/>
                <w:bCs/>
                <w:color w:val="DD0806"/>
                <w:sz w:val="16"/>
                <w:szCs w:val="16"/>
              </w:rPr>
            </w:pPr>
            <w:r w:rsidRPr="00BF6B1C">
              <w:rPr>
                <w:rFonts w:ascii="Calibri" w:hAnsi="Calibri" w:cs="Calibri"/>
                <w:b/>
                <w:bCs/>
                <w:color w:val="DD0806"/>
                <w:sz w:val="16"/>
                <w:szCs w:val="16"/>
              </w:rPr>
              <w:t>Ročná sadzba v ‰</w:t>
            </w:r>
          </w:p>
        </w:tc>
        <w:tc>
          <w:tcPr>
            <w:tcW w:w="1559" w:type="dxa"/>
            <w:tcBorders>
              <w:top w:val="single" w:sz="4" w:space="0" w:color="auto"/>
              <w:left w:val="single" w:sz="4" w:space="0" w:color="auto"/>
            </w:tcBorders>
            <w:shd w:val="clear" w:color="000000" w:fill="99CCFF"/>
            <w:vAlign w:val="bottom"/>
            <w:hideMark/>
          </w:tcPr>
          <w:p w14:paraId="4DDEB2CF"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Ročné poistné v EUR</w:t>
            </w:r>
          </w:p>
        </w:tc>
      </w:tr>
      <w:tr w:rsidR="00A1602B" w:rsidRPr="00A302F3" w14:paraId="48274B24" w14:textId="77777777" w:rsidTr="00843E48">
        <w:trPr>
          <w:trHeight w:val="540"/>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5B615384"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všeobecná - prevádzková zodpovednosť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FCDCC64"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t xml:space="preserve">700 000,00   </w:t>
            </w:r>
          </w:p>
        </w:tc>
        <w:tc>
          <w:tcPr>
            <w:tcW w:w="1560" w:type="dxa"/>
            <w:tcBorders>
              <w:top w:val="nil"/>
              <w:left w:val="nil"/>
              <w:bottom w:val="single" w:sz="4" w:space="0" w:color="auto"/>
              <w:right w:val="single" w:sz="4" w:space="0" w:color="auto"/>
            </w:tcBorders>
            <w:shd w:val="clear" w:color="auto" w:fill="auto"/>
            <w:noWrap/>
            <w:vAlign w:val="center"/>
            <w:hideMark/>
          </w:tcPr>
          <w:p w14:paraId="5526DF36" w14:textId="77777777" w:rsidR="00A1602B" w:rsidRPr="00A302F3" w:rsidRDefault="00A1602B" w:rsidP="00843E48">
            <w:pPr>
              <w:jc w:val="center"/>
              <w:rPr>
                <w:rFonts w:ascii="Calibri" w:hAnsi="Calibri" w:cs="Calibri"/>
                <w:sz w:val="16"/>
                <w:szCs w:val="16"/>
              </w:rPr>
            </w:pPr>
            <w:r w:rsidRPr="00A302F3">
              <w:rPr>
                <w:rFonts w:ascii="Calibri" w:hAnsi="Calibri" w:cs="Calibri"/>
                <w:sz w:val="16"/>
                <w:szCs w:val="16"/>
              </w:rPr>
              <w:t>limit plnenia</w:t>
            </w:r>
          </w:p>
        </w:tc>
        <w:tc>
          <w:tcPr>
            <w:tcW w:w="1701" w:type="dxa"/>
            <w:gridSpan w:val="2"/>
            <w:tcBorders>
              <w:top w:val="nil"/>
              <w:left w:val="nil"/>
              <w:bottom w:val="single" w:sz="4" w:space="0" w:color="auto"/>
              <w:right w:val="single" w:sz="4" w:space="0" w:color="auto"/>
            </w:tcBorders>
            <w:shd w:val="clear" w:color="000000" w:fill="C0C0C0"/>
            <w:noWrap/>
            <w:vAlign w:val="center"/>
          </w:tcPr>
          <w:p w14:paraId="4F4DEE03" w14:textId="77777777" w:rsidR="00A1602B" w:rsidRPr="00A302F3" w:rsidRDefault="00A1602B" w:rsidP="00843E48">
            <w:pPr>
              <w:jc w:val="center"/>
              <w:rPr>
                <w:rFonts w:ascii="Calibri" w:hAnsi="Calibri" w:cs="Calibri"/>
                <w:color w:val="DD0806"/>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noWrap/>
            <w:vAlign w:val="center"/>
          </w:tcPr>
          <w:p w14:paraId="7BB0C94B" w14:textId="77777777" w:rsidR="00A1602B" w:rsidRPr="00A302F3" w:rsidRDefault="00A1602B" w:rsidP="00843E48">
            <w:pPr>
              <w:jc w:val="center"/>
              <w:rPr>
                <w:rFonts w:ascii="Calibri" w:hAnsi="Calibri" w:cs="Calibri"/>
                <w:color w:val="FF0000"/>
                <w:sz w:val="16"/>
                <w:szCs w:val="16"/>
              </w:rPr>
            </w:pPr>
            <w:r w:rsidRPr="00F54A82">
              <w:rPr>
                <w:rFonts w:ascii="Calibri" w:hAnsi="Calibri" w:cs="Calibri"/>
                <w:color w:val="FF0000"/>
                <w:sz w:val="16"/>
                <w:szCs w:val="16"/>
              </w:rPr>
              <w:t>&lt;vyplní uchádzač &gt;</w:t>
            </w:r>
          </w:p>
        </w:tc>
      </w:tr>
      <w:tr w:rsidR="00A1602B" w:rsidRPr="00A302F3" w14:paraId="553255CD" w14:textId="77777777" w:rsidTr="00843E48">
        <w:trPr>
          <w:trHeight w:val="225"/>
        </w:trPr>
        <w:tc>
          <w:tcPr>
            <w:tcW w:w="3395" w:type="dxa"/>
            <w:tcBorders>
              <w:top w:val="nil"/>
              <w:left w:val="nil"/>
              <w:bottom w:val="nil"/>
              <w:right w:val="nil"/>
            </w:tcBorders>
            <w:shd w:val="clear" w:color="auto" w:fill="auto"/>
            <w:noWrap/>
            <w:vAlign w:val="bottom"/>
            <w:hideMark/>
          </w:tcPr>
          <w:p w14:paraId="267A7886" w14:textId="77777777" w:rsidR="00A1602B" w:rsidRPr="00A302F3" w:rsidRDefault="00A1602B" w:rsidP="00843E48">
            <w:pPr>
              <w:jc w:val="center"/>
              <w:rPr>
                <w:rFonts w:ascii="Calibri" w:hAnsi="Calibri" w:cs="Calibri"/>
                <w:color w:val="FF0000"/>
                <w:sz w:val="16"/>
                <w:szCs w:val="16"/>
              </w:rPr>
            </w:pPr>
          </w:p>
        </w:tc>
        <w:tc>
          <w:tcPr>
            <w:tcW w:w="1559" w:type="dxa"/>
            <w:gridSpan w:val="2"/>
            <w:tcBorders>
              <w:top w:val="nil"/>
              <w:left w:val="nil"/>
              <w:bottom w:val="nil"/>
              <w:right w:val="nil"/>
            </w:tcBorders>
            <w:shd w:val="clear" w:color="auto" w:fill="auto"/>
            <w:noWrap/>
            <w:vAlign w:val="bottom"/>
            <w:hideMark/>
          </w:tcPr>
          <w:p w14:paraId="436E7B5B" w14:textId="77777777" w:rsidR="00A1602B" w:rsidRPr="00A302F3" w:rsidRDefault="00A1602B" w:rsidP="00843E48">
            <w:pPr>
              <w:rPr>
                <w:sz w:val="20"/>
                <w:szCs w:val="20"/>
              </w:rPr>
            </w:pPr>
          </w:p>
        </w:tc>
        <w:tc>
          <w:tcPr>
            <w:tcW w:w="1560" w:type="dxa"/>
            <w:tcBorders>
              <w:top w:val="nil"/>
              <w:left w:val="nil"/>
              <w:bottom w:val="nil"/>
              <w:right w:val="nil"/>
            </w:tcBorders>
            <w:shd w:val="clear" w:color="auto" w:fill="auto"/>
            <w:noWrap/>
            <w:vAlign w:val="bottom"/>
            <w:hideMark/>
          </w:tcPr>
          <w:p w14:paraId="007F2143" w14:textId="77777777" w:rsidR="00A1602B" w:rsidRPr="00A302F3" w:rsidRDefault="00A1602B" w:rsidP="00843E48">
            <w:pPr>
              <w:rPr>
                <w:sz w:val="20"/>
                <w:szCs w:val="20"/>
              </w:rPr>
            </w:pPr>
          </w:p>
        </w:tc>
        <w:tc>
          <w:tcPr>
            <w:tcW w:w="1701" w:type="dxa"/>
            <w:gridSpan w:val="2"/>
            <w:tcBorders>
              <w:top w:val="nil"/>
              <w:left w:val="nil"/>
              <w:bottom w:val="nil"/>
              <w:right w:val="nil"/>
            </w:tcBorders>
            <w:shd w:val="clear" w:color="auto" w:fill="auto"/>
            <w:noWrap/>
            <w:vAlign w:val="bottom"/>
            <w:hideMark/>
          </w:tcPr>
          <w:p w14:paraId="282BBA98" w14:textId="77777777" w:rsidR="00A1602B" w:rsidRPr="00A302F3" w:rsidRDefault="00A1602B" w:rsidP="00843E48">
            <w:pPr>
              <w:rPr>
                <w:sz w:val="20"/>
                <w:szCs w:val="20"/>
              </w:rPr>
            </w:pPr>
          </w:p>
        </w:tc>
        <w:tc>
          <w:tcPr>
            <w:tcW w:w="1559" w:type="dxa"/>
            <w:tcBorders>
              <w:top w:val="nil"/>
              <w:left w:val="nil"/>
              <w:bottom w:val="nil"/>
              <w:right w:val="nil"/>
            </w:tcBorders>
            <w:shd w:val="clear" w:color="auto" w:fill="auto"/>
            <w:noWrap/>
            <w:vAlign w:val="bottom"/>
            <w:hideMark/>
          </w:tcPr>
          <w:p w14:paraId="30A215FD" w14:textId="77777777" w:rsidR="00A1602B" w:rsidRPr="00A302F3" w:rsidRDefault="00A1602B" w:rsidP="00843E48">
            <w:pPr>
              <w:rPr>
                <w:sz w:val="20"/>
                <w:szCs w:val="20"/>
              </w:rPr>
            </w:pPr>
          </w:p>
        </w:tc>
      </w:tr>
      <w:tr w:rsidR="00A1602B" w:rsidRPr="00A302F3" w14:paraId="172822D6" w14:textId="77777777" w:rsidTr="00843E48">
        <w:trPr>
          <w:gridAfter w:val="2"/>
          <w:wAfter w:w="2857" w:type="dxa"/>
          <w:trHeight w:val="510"/>
        </w:trPr>
        <w:tc>
          <w:tcPr>
            <w:tcW w:w="4180" w:type="dxa"/>
            <w:gridSpan w:val="2"/>
            <w:tcBorders>
              <w:top w:val="nil"/>
              <w:left w:val="nil"/>
              <w:bottom w:val="nil"/>
              <w:right w:val="nil"/>
            </w:tcBorders>
            <w:shd w:val="clear" w:color="auto" w:fill="auto"/>
            <w:noWrap/>
            <w:vAlign w:val="bottom"/>
            <w:hideMark/>
          </w:tcPr>
          <w:p w14:paraId="0712753A" w14:textId="77777777" w:rsidR="00A1602B" w:rsidRPr="00A302F3" w:rsidRDefault="00A1602B" w:rsidP="00843E48">
            <w:pPr>
              <w:rPr>
                <w:rFonts w:ascii="Calibri" w:hAnsi="Calibri" w:cs="Calibri"/>
                <w:b/>
                <w:bCs/>
                <w:sz w:val="20"/>
                <w:szCs w:val="20"/>
              </w:rPr>
            </w:pPr>
            <w:r w:rsidRPr="00A302F3">
              <w:rPr>
                <w:rFonts w:ascii="Calibri" w:hAnsi="Calibri" w:cs="Calibri"/>
                <w:b/>
                <w:bCs/>
                <w:sz w:val="20"/>
                <w:szCs w:val="20"/>
              </w:rPr>
              <w:t>Prehľad spoluúčastí</w:t>
            </w:r>
          </w:p>
        </w:tc>
        <w:tc>
          <w:tcPr>
            <w:tcW w:w="2737" w:type="dxa"/>
            <w:gridSpan w:val="3"/>
            <w:tcBorders>
              <w:top w:val="nil"/>
              <w:left w:val="nil"/>
              <w:bottom w:val="nil"/>
              <w:right w:val="nil"/>
            </w:tcBorders>
            <w:shd w:val="clear" w:color="auto" w:fill="auto"/>
            <w:noWrap/>
            <w:vAlign w:val="bottom"/>
            <w:hideMark/>
          </w:tcPr>
          <w:p w14:paraId="6A27E279" w14:textId="77777777" w:rsidR="00A1602B" w:rsidRPr="00A302F3" w:rsidRDefault="00A1602B" w:rsidP="00843E48">
            <w:pPr>
              <w:jc w:val="right"/>
              <w:rPr>
                <w:rFonts w:ascii="Calibri" w:hAnsi="Calibri" w:cs="Calibri"/>
                <w:b/>
                <w:bCs/>
                <w:sz w:val="16"/>
                <w:szCs w:val="16"/>
              </w:rPr>
            </w:pPr>
            <w:r w:rsidRPr="00A302F3">
              <w:rPr>
                <w:rFonts w:ascii="Calibri" w:hAnsi="Calibri" w:cs="Calibri"/>
                <w:b/>
                <w:bCs/>
                <w:sz w:val="16"/>
                <w:szCs w:val="16"/>
              </w:rPr>
              <w:t xml:space="preserve"> Tabuľka č. 3</w:t>
            </w:r>
          </w:p>
        </w:tc>
      </w:tr>
      <w:tr w:rsidR="00A1602B" w:rsidRPr="00A302F3" w14:paraId="5FFF8BF0" w14:textId="77777777" w:rsidTr="00843E48">
        <w:trPr>
          <w:gridAfter w:val="2"/>
          <w:wAfter w:w="2857" w:type="dxa"/>
          <w:trHeight w:val="360"/>
        </w:trPr>
        <w:tc>
          <w:tcPr>
            <w:tcW w:w="418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9CD2E46"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Poistené riziko</w:t>
            </w:r>
          </w:p>
        </w:tc>
        <w:tc>
          <w:tcPr>
            <w:tcW w:w="2737" w:type="dxa"/>
            <w:gridSpan w:val="3"/>
            <w:tcBorders>
              <w:top w:val="single" w:sz="4" w:space="0" w:color="auto"/>
              <w:left w:val="nil"/>
              <w:bottom w:val="single" w:sz="4" w:space="0" w:color="auto"/>
              <w:right w:val="single" w:sz="4" w:space="0" w:color="auto"/>
            </w:tcBorders>
            <w:shd w:val="clear" w:color="000000" w:fill="99CCFF"/>
            <w:noWrap/>
            <w:vAlign w:val="center"/>
            <w:hideMark/>
          </w:tcPr>
          <w:p w14:paraId="4F753F05"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Spoluúčasť</w:t>
            </w:r>
          </w:p>
        </w:tc>
      </w:tr>
      <w:tr w:rsidR="00A1602B" w:rsidRPr="00A302F3" w14:paraId="0ED5D440"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A8705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nehnuteľný majetok</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DE9D679"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58DFD429"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3C4B2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hnuteľný majetok</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01B0D7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02874D96" w14:textId="77777777" w:rsidTr="00843E48">
        <w:trPr>
          <w:gridAfter w:val="2"/>
          <w:wAfter w:w="2857" w:type="dxa"/>
          <w:trHeight w:val="660"/>
        </w:trPr>
        <w:tc>
          <w:tcPr>
            <w:tcW w:w="4180" w:type="dxa"/>
            <w:gridSpan w:val="2"/>
            <w:tcBorders>
              <w:top w:val="nil"/>
              <w:left w:val="single" w:sz="4" w:space="0" w:color="auto"/>
              <w:bottom w:val="single" w:sz="4" w:space="0" w:color="auto"/>
              <w:right w:val="single" w:sz="4" w:space="0" w:color="auto"/>
            </w:tcBorders>
            <w:shd w:val="clear" w:color="auto" w:fill="auto"/>
            <w:vAlign w:val="center"/>
            <w:hideMark/>
          </w:tcPr>
          <w:p w14:paraId="1DDB0B94"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Terorizmus pre hnuteľný aj nehnuteľný majetok, výlučne pre objekt I. Karvaša, BA</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757E8B5"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50 000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3C50E4E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B82147"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vodovodné škody</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01E1539A"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31A0F242"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6A6756" w14:textId="77777777" w:rsidR="00A1602B" w:rsidRPr="00A302F3" w:rsidRDefault="00A1602B" w:rsidP="00843E48">
            <w:pPr>
              <w:rPr>
                <w:rFonts w:ascii="Calibri" w:hAnsi="Calibri" w:cs="Calibri"/>
                <w:sz w:val="16"/>
                <w:szCs w:val="16"/>
              </w:rPr>
            </w:pPr>
            <w:r w:rsidRPr="00B9458D">
              <w:rPr>
                <w:rFonts w:ascii="Calibri" w:hAnsi="Calibri" w:cs="Calibri"/>
                <w:sz w:val="16"/>
                <w:szCs w:val="16"/>
              </w:rPr>
              <w:t>Krádež, lúpež</w:t>
            </w:r>
            <w:r w:rsidRPr="00A302F3">
              <w:rPr>
                <w:rFonts w:ascii="Calibri" w:hAnsi="Calibri" w:cs="Calibri"/>
                <w:sz w:val="16"/>
                <w:szCs w:val="16"/>
              </w:rPr>
              <w:t>, vandalizmus</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3B0B0A8F"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23250376"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A8D7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Lúpež pri preprave peňazí</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690FC1F" w14:textId="77777777" w:rsidR="00A1602B" w:rsidRPr="00A302F3" w:rsidRDefault="00A1602B" w:rsidP="00843E48">
            <w:pPr>
              <w:rPr>
                <w:rFonts w:ascii="Calibri" w:hAnsi="Calibri" w:cs="Calibri"/>
                <w:sz w:val="16"/>
                <w:szCs w:val="16"/>
              </w:rPr>
            </w:pPr>
            <w:r>
              <w:rPr>
                <w:rFonts w:ascii="Calibri" w:hAnsi="Calibri" w:cs="Calibri"/>
                <w:sz w:val="16"/>
                <w:szCs w:val="16"/>
              </w:rPr>
              <w:t>0,</w:t>
            </w:r>
            <w:r w:rsidRPr="00A302F3">
              <w:rPr>
                <w:rFonts w:ascii="Calibri" w:hAnsi="Calibri" w:cs="Calibri"/>
                <w:sz w:val="16"/>
                <w:szCs w:val="16"/>
              </w:rPr>
              <w:t xml:space="preserve">-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0498CE6E"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02834F"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Poistenie skla</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174457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25B3AE0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40549"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Poistenie strojov a elektroniky</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67BBAB9E"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 min. 300 </w:t>
            </w:r>
            <w:r>
              <w:rPr>
                <w:rFonts w:ascii="Calibri" w:hAnsi="Calibri" w:cs="Calibri"/>
                <w:sz w:val="16"/>
                <w:szCs w:val="16"/>
              </w:rPr>
              <w:t>EUR</w:t>
            </w:r>
          </w:p>
        </w:tc>
      </w:tr>
      <w:tr w:rsidR="00A1602B" w:rsidRPr="00A302F3" w14:paraId="23D6B7F5"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28366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Všeobecná zodpovednosť</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16BB2066" w14:textId="77777777" w:rsidR="00A1602B" w:rsidRPr="00A302F3" w:rsidRDefault="00A1602B" w:rsidP="00843E48">
            <w:pPr>
              <w:rPr>
                <w:rFonts w:ascii="Calibri" w:hAnsi="Calibri" w:cs="Calibri"/>
                <w:sz w:val="16"/>
                <w:szCs w:val="16"/>
              </w:rPr>
            </w:pPr>
            <w:r>
              <w:rPr>
                <w:rFonts w:ascii="Calibri" w:hAnsi="Calibri" w:cs="Calibri"/>
                <w:sz w:val="16"/>
                <w:szCs w:val="16"/>
              </w:rPr>
              <w:t>0,</w:t>
            </w:r>
            <w:r w:rsidRPr="00A302F3">
              <w:rPr>
                <w:rFonts w:ascii="Calibri" w:hAnsi="Calibri" w:cs="Calibri"/>
                <w:sz w:val="16"/>
                <w:szCs w:val="16"/>
              </w:rPr>
              <w:t xml:space="preserve">-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4EDB348B"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7F5BEFBE" w14:textId="77777777" w:rsidR="00A1602B" w:rsidRPr="00A302F3" w:rsidRDefault="00A1602B" w:rsidP="00843E48">
            <w:pPr>
              <w:rPr>
                <w:rFonts w:ascii="Calibri" w:hAnsi="Calibri" w:cs="Calibri"/>
                <w:sz w:val="16"/>
                <w:szCs w:val="16"/>
              </w:rPr>
            </w:pPr>
          </w:p>
        </w:tc>
        <w:tc>
          <w:tcPr>
            <w:tcW w:w="2737" w:type="dxa"/>
            <w:gridSpan w:val="3"/>
            <w:tcBorders>
              <w:top w:val="nil"/>
              <w:left w:val="nil"/>
              <w:bottom w:val="nil"/>
              <w:right w:val="nil"/>
            </w:tcBorders>
            <w:shd w:val="clear" w:color="auto" w:fill="auto"/>
            <w:noWrap/>
            <w:vAlign w:val="bottom"/>
            <w:hideMark/>
          </w:tcPr>
          <w:p w14:paraId="05093FA4" w14:textId="77777777" w:rsidR="00A1602B" w:rsidRPr="00A302F3" w:rsidRDefault="00A1602B" w:rsidP="00843E48">
            <w:pPr>
              <w:rPr>
                <w:sz w:val="20"/>
                <w:szCs w:val="20"/>
              </w:rPr>
            </w:pPr>
          </w:p>
        </w:tc>
      </w:tr>
      <w:tr w:rsidR="00A1602B" w:rsidRPr="00A302F3" w14:paraId="3895DA43"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4A7B9AA7" w14:textId="77777777" w:rsidR="00A1602B" w:rsidRPr="00A302F3" w:rsidRDefault="00A1602B" w:rsidP="00843E48">
            <w:pPr>
              <w:rPr>
                <w:sz w:val="20"/>
                <w:szCs w:val="20"/>
              </w:rPr>
            </w:pPr>
          </w:p>
        </w:tc>
        <w:tc>
          <w:tcPr>
            <w:tcW w:w="2737" w:type="dxa"/>
            <w:gridSpan w:val="3"/>
            <w:tcBorders>
              <w:top w:val="nil"/>
              <w:left w:val="nil"/>
              <w:bottom w:val="nil"/>
              <w:right w:val="nil"/>
            </w:tcBorders>
            <w:shd w:val="clear" w:color="auto" w:fill="auto"/>
            <w:noWrap/>
            <w:vAlign w:val="bottom"/>
            <w:hideMark/>
          </w:tcPr>
          <w:p w14:paraId="02E8D090" w14:textId="77777777" w:rsidR="00A1602B" w:rsidRPr="00A302F3" w:rsidRDefault="00A1602B" w:rsidP="00843E48">
            <w:pPr>
              <w:rPr>
                <w:sz w:val="20"/>
                <w:szCs w:val="20"/>
              </w:rPr>
            </w:pPr>
          </w:p>
        </w:tc>
      </w:tr>
      <w:tr w:rsidR="00A1602B" w:rsidRPr="00A302F3" w14:paraId="45771189" w14:textId="77777777" w:rsidTr="00843E48">
        <w:trPr>
          <w:gridAfter w:val="2"/>
          <w:wAfter w:w="2857" w:type="dxa"/>
          <w:trHeight w:val="510"/>
        </w:trPr>
        <w:tc>
          <w:tcPr>
            <w:tcW w:w="4180" w:type="dxa"/>
            <w:gridSpan w:val="2"/>
            <w:tcBorders>
              <w:top w:val="nil"/>
              <w:left w:val="nil"/>
              <w:bottom w:val="nil"/>
              <w:right w:val="nil"/>
            </w:tcBorders>
            <w:shd w:val="clear" w:color="auto" w:fill="auto"/>
            <w:noWrap/>
            <w:vAlign w:val="bottom"/>
            <w:hideMark/>
          </w:tcPr>
          <w:p w14:paraId="67E30DCA" w14:textId="77777777" w:rsidR="00A1602B" w:rsidRPr="00A302F3" w:rsidRDefault="00A1602B" w:rsidP="00843E48">
            <w:pPr>
              <w:rPr>
                <w:rFonts w:ascii="Calibri" w:hAnsi="Calibri" w:cs="Calibri"/>
                <w:b/>
                <w:bCs/>
                <w:sz w:val="20"/>
                <w:szCs w:val="20"/>
              </w:rPr>
            </w:pPr>
            <w:r w:rsidRPr="00A302F3">
              <w:rPr>
                <w:rFonts w:ascii="Calibri" w:hAnsi="Calibri" w:cs="Calibri"/>
                <w:b/>
                <w:bCs/>
                <w:sz w:val="20"/>
                <w:szCs w:val="20"/>
              </w:rPr>
              <w:t>Ročné limity plnenia</w:t>
            </w:r>
          </w:p>
        </w:tc>
        <w:tc>
          <w:tcPr>
            <w:tcW w:w="2737" w:type="dxa"/>
            <w:gridSpan w:val="3"/>
            <w:tcBorders>
              <w:top w:val="nil"/>
              <w:left w:val="nil"/>
              <w:bottom w:val="nil"/>
              <w:right w:val="nil"/>
            </w:tcBorders>
            <w:shd w:val="clear" w:color="auto" w:fill="auto"/>
            <w:noWrap/>
            <w:vAlign w:val="bottom"/>
            <w:hideMark/>
          </w:tcPr>
          <w:p w14:paraId="0C94D9E0" w14:textId="77777777" w:rsidR="00A1602B" w:rsidRPr="00A302F3" w:rsidRDefault="00A1602B" w:rsidP="00843E48">
            <w:pPr>
              <w:jc w:val="right"/>
              <w:rPr>
                <w:rFonts w:ascii="Calibri" w:hAnsi="Calibri" w:cs="Calibri"/>
                <w:b/>
                <w:bCs/>
                <w:sz w:val="16"/>
                <w:szCs w:val="16"/>
              </w:rPr>
            </w:pPr>
            <w:r w:rsidRPr="00A302F3">
              <w:rPr>
                <w:rFonts w:ascii="Calibri" w:hAnsi="Calibri" w:cs="Calibri"/>
                <w:b/>
                <w:bCs/>
                <w:sz w:val="16"/>
                <w:szCs w:val="16"/>
              </w:rPr>
              <w:t>Tabuľka č. 4</w:t>
            </w:r>
          </w:p>
        </w:tc>
      </w:tr>
      <w:tr w:rsidR="00A1602B" w:rsidRPr="00A302F3" w14:paraId="564A465A" w14:textId="77777777" w:rsidTr="00843E48">
        <w:trPr>
          <w:gridAfter w:val="2"/>
          <w:wAfter w:w="2857" w:type="dxa"/>
          <w:trHeight w:val="735"/>
        </w:trPr>
        <w:tc>
          <w:tcPr>
            <w:tcW w:w="418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3E8803A"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Poistené riziko</w:t>
            </w:r>
          </w:p>
        </w:tc>
        <w:tc>
          <w:tcPr>
            <w:tcW w:w="2737" w:type="dxa"/>
            <w:gridSpan w:val="3"/>
            <w:tcBorders>
              <w:top w:val="single" w:sz="4" w:space="0" w:color="auto"/>
              <w:left w:val="nil"/>
              <w:bottom w:val="single" w:sz="4" w:space="0" w:color="auto"/>
              <w:right w:val="single" w:sz="4" w:space="0" w:color="auto"/>
            </w:tcBorders>
            <w:shd w:val="clear" w:color="000000" w:fill="99CCFF"/>
            <w:vAlign w:val="center"/>
            <w:hideMark/>
          </w:tcPr>
          <w:p w14:paraId="098BE12E"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t>Limit poistného plnenia</w:t>
            </w:r>
          </w:p>
        </w:tc>
      </w:tr>
      <w:tr w:rsidR="00A1602B" w:rsidRPr="00A302F3" w14:paraId="01B85D7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9BDB6"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požiar, zemetrasenie, terorizmus</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B6FF936"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160 000 000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517C228E" w14:textId="77777777" w:rsidTr="00843E48">
        <w:trPr>
          <w:gridAfter w:val="2"/>
          <w:wAfter w:w="2857" w:type="dxa"/>
          <w:trHeight w:val="405"/>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E677B3"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-ostatné riziká</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5C8ABCDC"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50 000 000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63A73562"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22468B3D" w14:textId="77777777" w:rsidR="00A1602B" w:rsidRPr="00A302F3" w:rsidRDefault="00A1602B" w:rsidP="00843E48">
            <w:pPr>
              <w:jc w:val="right"/>
              <w:rPr>
                <w:rFonts w:ascii="Calibri" w:hAnsi="Calibri" w:cs="Calibri"/>
                <w:sz w:val="16"/>
                <w:szCs w:val="16"/>
              </w:rPr>
            </w:pPr>
          </w:p>
        </w:tc>
        <w:tc>
          <w:tcPr>
            <w:tcW w:w="2737" w:type="dxa"/>
            <w:gridSpan w:val="3"/>
            <w:tcBorders>
              <w:top w:val="nil"/>
              <w:left w:val="nil"/>
              <w:bottom w:val="nil"/>
              <w:right w:val="nil"/>
            </w:tcBorders>
            <w:shd w:val="clear" w:color="auto" w:fill="auto"/>
            <w:noWrap/>
            <w:vAlign w:val="bottom"/>
            <w:hideMark/>
          </w:tcPr>
          <w:p w14:paraId="07585AFC" w14:textId="77777777" w:rsidR="00A1602B" w:rsidRPr="00A302F3" w:rsidRDefault="00A1602B" w:rsidP="00843E48">
            <w:pPr>
              <w:rPr>
                <w:sz w:val="20"/>
                <w:szCs w:val="20"/>
              </w:rPr>
            </w:pPr>
          </w:p>
        </w:tc>
      </w:tr>
    </w:tbl>
    <w:p w14:paraId="20B7E784" w14:textId="77777777" w:rsidR="00A1602B" w:rsidRDefault="00A1602B" w:rsidP="00A1602B">
      <w:pPr>
        <w:spacing w:after="160" w:line="259" w:lineRule="auto"/>
      </w:pPr>
      <w:r>
        <w:br w:type="page"/>
      </w:r>
    </w:p>
    <w:p w14:paraId="4A39708B" w14:textId="77777777" w:rsidR="00A1602B" w:rsidRPr="00EF70E1" w:rsidRDefault="00A1602B" w:rsidP="00A1602B">
      <w:pPr>
        <w:spacing w:after="160" w:line="259" w:lineRule="auto"/>
      </w:pPr>
    </w:p>
    <w:p w14:paraId="189F6A2D"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t>Príloha č. 2 k Rámcovej dohode</w:t>
      </w:r>
    </w:p>
    <w:p w14:paraId="36B9067B" w14:textId="77777777" w:rsidR="00A1602B" w:rsidRPr="00EF70E1" w:rsidRDefault="00A1602B" w:rsidP="00A1602B">
      <w:pPr>
        <w:pStyle w:val="BodyText"/>
      </w:pPr>
      <w:r w:rsidRPr="00EF70E1">
        <w:rPr>
          <w:rFonts w:ascii="Gambria" w:hAnsi="Gambria"/>
          <w:sz w:val="22"/>
          <w:szCs w:val="22"/>
        </w:rPr>
        <w:t xml:space="preserve">Všeobecné poistné podmienky, zmluvné dojednania poistiteľa </w:t>
      </w:r>
      <w:r w:rsidRPr="00EF70E1">
        <w:rPr>
          <w:rFonts w:ascii="Gambria" w:hAnsi="Gambria" w:hint="eastAsia"/>
          <w:color w:val="FF0000"/>
          <w:sz w:val="22"/>
          <w:szCs w:val="22"/>
        </w:rPr>
        <w:t>&lt;</w:t>
      </w:r>
      <w:r w:rsidRPr="00EF70E1">
        <w:rPr>
          <w:rFonts w:ascii="Gambria" w:hAnsi="Gambria"/>
          <w:color w:val="FF0000"/>
          <w:sz w:val="22"/>
          <w:szCs w:val="22"/>
        </w:rPr>
        <w:t>predlo</w:t>
      </w:r>
      <w:r w:rsidRPr="00EF70E1">
        <w:rPr>
          <w:rFonts w:ascii="Gambria" w:hAnsi="Gambria" w:hint="cs"/>
          <w:color w:val="FF0000"/>
          <w:sz w:val="22"/>
          <w:szCs w:val="22"/>
        </w:rPr>
        <w:t>ží</w:t>
      </w:r>
      <w:r w:rsidRPr="00EF70E1">
        <w:rPr>
          <w:rFonts w:ascii="Gambria" w:hAnsi="Gambria" w:hint="eastAsia"/>
          <w:color w:val="FF0000"/>
          <w:sz w:val="22"/>
          <w:szCs w:val="22"/>
        </w:rPr>
        <w:t xml:space="preserve"> </w:t>
      </w:r>
      <w:r w:rsidRPr="00EF70E1">
        <w:rPr>
          <w:rFonts w:ascii="Gambria" w:hAnsi="Gambria"/>
          <w:color w:val="FF0000"/>
          <w:sz w:val="22"/>
          <w:szCs w:val="22"/>
        </w:rPr>
        <w:t>uch</w:t>
      </w:r>
      <w:r w:rsidRPr="00EF70E1">
        <w:rPr>
          <w:rFonts w:ascii="Gambria" w:hAnsi="Gambria" w:hint="cs"/>
          <w:color w:val="FF0000"/>
          <w:sz w:val="22"/>
          <w:szCs w:val="22"/>
        </w:rPr>
        <w:t>á</w:t>
      </w:r>
      <w:r w:rsidRPr="00EF70E1">
        <w:rPr>
          <w:rFonts w:ascii="Gambria" w:hAnsi="Gambria"/>
          <w:color w:val="FF0000"/>
          <w:sz w:val="22"/>
          <w:szCs w:val="22"/>
        </w:rPr>
        <w:t>dza</w:t>
      </w:r>
      <w:r w:rsidRPr="00EF70E1">
        <w:rPr>
          <w:rFonts w:ascii="Gambria" w:hAnsi="Gambria" w:hint="cs"/>
          <w:color w:val="FF0000"/>
          <w:sz w:val="22"/>
          <w:szCs w:val="22"/>
        </w:rPr>
        <w:t>č</w:t>
      </w:r>
      <w:r w:rsidRPr="00EF70E1">
        <w:rPr>
          <w:rFonts w:ascii="Gambria" w:hAnsi="Gambria" w:hint="eastAsia"/>
          <w:color w:val="FF0000"/>
          <w:sz w:val="22"/>
          <w:szCs w:val="22"/>
        </w:rPr>
        <w:t xml:space="preserve"> &gt;</w:t>
      </w:r>
    </w:p>
    <w:p w14:paraId="733A771F" w14:textId="77777777" w:rsidR="00A1602B" w:rsidRPr="00EF70E1" w:rsidRDefault="00A1602B" w:rsidP="00A1602B">
      <w:pPr>
        <w:spacing w:after="160" w:line="259" w:lineRule="auto"/>
      </w:pPr>
      <w:r w:rsidRPr="00EF70E1">
        <w:br w:type="page"/>
      </w:r>
    </w:p>
    <w:p w14:paraId="24F8C352"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3 k Rámcovej dohode</w:t>
      </w:r>
    </w:p>
    <w:p w14:paraId="7669D95B" w14:textId="77777777" w:rsidR="00A1602B" w:rsidRPr="00EF70E1" w:rsidRDefault="00A1602B" w:rsidP="00A1602B">
      <w:pPr>
        <w:pStyle w:val="BodyText"/>
        <w:rPr>
          <w:rFonts w:ascii="Gambria" w:hAnsi="Gambria"/>
          <w:sz w:val="22"/>
          <w:szCs w:val="22"/>
        </w:rPr>
      </w:pPr>
      <w:r w:rsidRPr="00EF70E1">
        <w:rPr>
          <w:rFonts w:ascii="Gambria" w:hAnsi="Gambria"/>
          <w:sz w:val="22"/>
          <w:szCs w:val="22"/>
        </w:rPr>
        <w:t>Zoznam objektov poistníka</w:t>
      </w:r>
    </w:p>
    <w:p w14:paraId="55C47D94"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Národná banka Slovenska, </w:t>
      </w:r>
      <w:r>
        <w:rPr>
          <w:rFonts w:ascii="Gambria" w:hAnsi="Gambria" w:cs="Arial"/>
          <w:sz w:val="22"/>
          <w:szCs w:val="22"/>
        </w:rPr>
        <w:t>U</w:t>
      </w:r>
      <w:r w:rsidRPr="00EF70E1">
        <w:rPr>
          <w:rFonts w:ascii="Gambria" w:hAnsi="Gambria" w:cs="Arial"/>
          <w:sz w:val="22"/>
          <w:szCs w:val="22"/>
        </w:rPr>
        <w:t xml:space="preserve">l. Imricha </w:t>
      </w:r>
      <w:proofErr w:type="spellStart"/>
      <w:r w:rsidRPr="00EF70E1">
        <w:rPr>
          <w:rFonts w:ascii="Gambria" w:hAnsi="Gambria" w:cs="Arial"/>
          <w:sz w:val="22"/>
          <w:szCs w:val="22"/>
        </w:rPr>
        <w:t>Karvaša</w:t>
      </w:r>
      <w:proofErr w:type="spellEnd"/>
      <w:r w:rsidRPr="00EF70E1">
        <w:rPr>
          <w:rFonts w:ascii="Gambria" w:hAnsi="Gambria" w:cs="Arial"/>
          <w:sz w:val="22"/>
          <w:szCs w:val="22"/>
        </w:rPr>
        <w:t xml:space="preserve"> 1, 813 25 Bratislava, (ústredie)</w:t>
      </w:r>
    </w:p>
    <w:p w14:paraId="6E128AFA"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Národná banka Slovenska, pracovisko </w:t>
      </w:r>
      <w:proofErr w:type="spellStart"/>
      <w:r w:rsidRPr="00EF70E1">
        <w:rPr>
          <w:rFonts w:ascii="Gambria" w:hAnsi="Gambria" w:cs="Arial"/>
          <w:sz w:val="22"/>
          <w:szCs w:val="22"/>
        </w:rPr>
        <w:t>Vazovova</w:t>
      </w:r>
      <w:proofErr w:type="spellEnd"/>
      <w:r w:rsidRPr="00EF70E1">
        <w:rPr>
          <w:rFonts w:ascii="Gambria" w:hAnsi="Gambria" w:cs="Arial"/>
          <w:sz w:val="22"/>
          <w:szCs w:val="22"/>
        </w:rPr>
        <w:t xml:space="preserve"> 2, 811 07 Bratislava</w:t>
      </w:r>
    </w:p>
    <w:p w14:paraId="586A8E75"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Národná banka Slovenska, pracovisko Cukrová 8, 811 08 Bratislava</w:t>
      </w:r>
    </w:p>
    <w:p w14:paraId="0AE7FF3D"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Národná 10, 975 77 Banská Bystrica,</w:t>
      </w:r>
    </w:p>
    <w:p w14:paraId="01378DBF"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Slovenskej jednoty 14, 041 41 Košice,</w:t>
      </w:r>
    </w:p>
    <w:p w14:paraId="4B458FE9"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Antona Bernoláka 74, 010 01 Žilina,</w:t>
      </w:r>
    </w:p>
    <w:p w14:paraId="46AEA7F9"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Vajanského 11/A, 948 01 Lučenec,</w:t>
      </w:r>
    </w:p>
    <w:p w14:paraId="356EE7F4"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Dostojevského 4444/26, 058 02 Poprad,</w:t>
      </w:r>
    </w:p>
    <w:p w14:paraId="7AC55613"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T. G. Masaryka 3, 940 62 Nové Zámky,</w:t>
      </w:r>
    </w:p>
    <w:p w14:paraId="7F84205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VÚZ Bystrina Starý Smokovec, Nový Smokovec 21, 062 01 Starý Smokovec,</w:t>
      </w:r>
    </w:p>
    <w:p w14:paraId="0AD8C8BA"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Múzeum mincí a medailí (ďalej „MMM“), objekt Štefánikovo nám. 11/21, 967 01 Kremnica,</w:t>
      </w:r>
    </w:p>
    <w:p w14:paraId="3999407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10/19, 967 01 Kremnica,</w:t>
      </w:r>
    </w:p>
    <w:p w14:paraId="474A03B8"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9/17, 967 01 Kremnica,</w:t>
      </w:r>
    </w:p>
    <w:p w14:paraId="7D7D8D6C"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32/38, 967 01 Kremnica,</w:t>
      </w:r>
    </w:p>
    <w:p w14:paraId="54A7516F"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33/40, 967 01 Kremnica,</w:t>
      </w:r>
    </w:p>
    <w:p w14:paraId="31EBEA10"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Objekt MMM, </w:t>
      </w:r>
      <w:proofErr w:type="spellStart"/>
      <w:r w:rsidRPr="00EF70E1">
        <w:rPr>
          <w:rFonts w:ascii="Gambria" w:hAnsi="Gambria" w:cs="Arial"/>
          <w:sz w:val="22"/>
          <w:szCs w:val="22"/>
        </w:rPr>
        <w:t>Angyalova</w:t>
      </w:r>
      <w:proofErr w:type="spellEnd"/>
      <w:r w:rsidRPr="00EF70E1">
        <w:rPr>
          <w:rFonts w:ascii="Gambria" w:hAnsi="Gambria" w:cs="Arial"/>
          <w:sz w:val="22"/>
          <w:szCs w:val="22"/>
        </w:rPr>
        <w:t xml:space="preserve"> ul. Č. 486/24, 967 01 Kremnica,</w:t>
      </w:r>
    </w:p>
    <w:p w14:paraId="427F406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Zámocké nám. č. 568/1, 967 01 Kremnica,</w:t>
      </w:r>
    </w:p>
    <w:p w14:paraId="26D5978A" w14:textId="77777777" w:rsidR="00A1602B" w:rsidRPr="00EF70E1" w:rsidRDefault="00A1602B" w:rsidP="00A1602B">
      <w:pPr>
        <w:pStyle w:val="ListParagraph"/>
        <w:tabs>
          <w:tab w:val="right" w:leader="dot" w:pos="9000"/>
          <w:tab w:val="left" w:leader="dot" w:pos="10034"/>
        </w:tabs>
        <w:ind w:left="0" w:firstLine="0"/>
        <w:rPr>
          <w:rFonts w:ascii="Gambria" w:hAnsi="Gambria" w:cs="Arial"/>
          <w:sz w:val="22"/>
          <w:szCs w:val="22"/>
        </w:rPr>
      </w:pPr>
      <w:r w:rsidRPr="00EF70E1">
        <w:rPr>
          <w:rFonts w:ascii="Gambria" w:hAnsi="Gambria" w:cs="Arial"/>
          <w:sz w:val="22"/>
          <w:szCs w:val="22"/>
        </w:rPr>
        <w:t>Národná banka Slovenska, Tomášikova 28/a, 813 25 Bratislava (iba v rozsahu hnuteľného majetku)</w:t>
      </w:r>
    </w:p>
    <w:p w14:paraId="6B235BDA" w14:textId="77777777" w:rsidR="00A1602B" w:rsidRPr="00EF70E1" w:rsidRDefault="00A1602B" w:rsidP="00A1602B">
      <w:pPr>
        <w:pStyle w:val="BodyText"/>
      </w:pPr>
    </w:p>
    <w:p w14:paraId="4687A86A" w14:textId="77777777" w:rsidR="00A1602B" w:rsidRPr="00EF70E1" w:rsidRDefault="00A1602B" w:rsidP="00A1602B">
      <w:pPr>
        <w:spacing w:after="160" w:line="259" w:lineRule="auto"/>
      </w:pPr>
      <w:r w:rsidRPr="00EF70E1">
        <w:br w:type="page"/>
      </w:r>
    </w:p>
    <w:p w14:paraId="5D54CBD7"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4 k Rámcovej dohode</w:t>
      </w:r>
    </w:p>
    <w:p w14:paraId="191CCF13" w14:textId="77777777" w:rsidR="00A1602B" w:rsidRPr="00EF70E1" w:rsidRDefault="00A1602B" w:rsidP="00A1602B">
      <w:pPr>
        <w:rPr>
          <w:sz w:val="22"/>
          <w:szCs w:val="22"/>
        </w:rPr>
      </w:pPr>
      <w:r w:rsidRPr="00EF70E1">
        <w:rPr>
          <w:sz w:val="22"/>
          <w:szCs w:val="22"/>
        </w:rPr>
        <w:t xml:space="preserve">Zoznam subdodávateľov </w:t>
      </w:r>
    </w:p>
    <w:p w14:paraId="0140C8D3" w14:textId="77777777" w:rsidR="00A1602B" w:rsidRPr="00EF70E1" w:rsidRDefault="00A1602B" w:rsidP="00A1602B">
      <w:pPr>
        <w:rPr>
          <w:sz w:val="22"/>
          <w:szCs w:val="22"/>
        </w:rPr>
      </w:pPr>
    </w:p>
    <w:p w14:paraId="2D64ED9E" w14:textId="77777777" w:rsidR="00A1602B" w:rsidRPr="00EF70E1" w:rsidRDefault="00A1602B" w:rsidP="00A1602B">
      <w:pPr>
        <w:rPr>
          <w:sz w:val="22"/>
          <w:szCs w:val="22"/>
        </w:rPr>
      </w:pPr>
    </w:p>
    <w:p w14:paraId="13FC8B43" w14:textId="77777777" w:rsidR="00A1602B" w:rsidRPr="00EF70E1" w:rsidRDefault="00A1602B" w:rsidP="00A1602B">
      <w:pPr>
        <w:rPr>
          <w:sz w:val="22"/>
          <w:szCs w:val="22"/>
        </w:rPr>
      </w:pPr>
      <w:r w:rsidRPr="00EF70E1">
        <w:rPr>
          <w:sz w:val="22"/>
          <w:szCs w:val="22"/>
        </w:rPr>
        <w:t>V súlade s ustanovením § 41 ods. 3 zákona o verejnom obstarávaní verejný obstarávateľ požaduje od úspešného uchádzača, aby v rámcovej dohode uviedol:</w:t>
      </w:r>
    </w:p>
    <w:p w14:paraId="5A77458B" w14:textId="77777777" w:rsidR="00A1602B" w:rsidRPr="00EF70E1" w:rsidRDefault="00A1602B" w:rsidP="00A1602B">
      <w:pPr>
        <w:rPr>
          <w:sz w:val="22"/>
          <w:szCs w:val="22"/>
        </w:rPr>
      </w:pPr>
      <w:r w:rsidRPr="00EF70E1">
        <w:rPr>
          <w:sz w:val="22"/>
          <w:szCs w:val="22"/>
        </w:rPr>
        <w:t>1. údaje všetkých známych subdodávateľoch v rozsahu obchodné meno, sídlo, IČO,</w:t>
      </w:r>
    </w:p>
    <w:p w14:paraId="2CB3D088" w14:textId="77777777" w:rsidR="00A1602B" w:rsidRPr="00EF70E1" w:rsidRDefault="00A1602B" w:rsidP="00A1602B">
      <w:pPr>
        <w:rPr>
          <w:sz w:val="22"/>
          <w:szCs w:val="22"/>
        </w:rPr>
      </w:pPr>
      <w:r w:rsidRPr="00EF70E1">
        <w:rPr>
          <w:sz w:val="22"/>
          <w:szCs w:val="22"/>
        </w:rPr>
        <w:t>zápis do príslušného obchodného registra</w:t>
      </w:r>
    </w:p>
    <w:p w14:paraId="0953CA46" w14:textId="77777777" w:rsidR="00A1602B" w:rsidRPr="00EF70E1" w:rsidRDefault="00A1602B" w:rsidP="00A1602B">
      <w:pPr>
        <w:rPr>
          <w:sz w:val="22"/>
          <w:szCs w:val="22"/>
        </w:rPr>
      </w:pPr>
      <w:r w:rsidRPr="00EF70E1">
        <w:rPr>
          <w:sz w:val="22"/>
          <w:szCs w:val="22"/>
        </w:rPr>
        <w:t>2. údaje o osobe oprávnenej konať za subdodávateľa v rozsahu meno a priezvisko, adresa</w:t>
      </w:r>
    </w:p>
    <w:p w14:paraId="6E83A33D" w14:textId="77777777" w:rsidR="00A1602B" w:rsidRPr="00EF70E1" w:rsidRDefault="00A1602B" w:rsidP="00A1602B">
      <w:pPr>
        <w:rPr>
          <w:sz w:val="22"/>
          <w:szCs w:val="22"/>
        </w:rPr>
      </w:pPr>
      <w:r w:rsidRPr="00EF70E1">
        <w:rPr>
          <w:sz w:val="22"/>
          <w:szCs w:val="22"/>
        </w:rPr>
        <w:t>pobytu, dátum narodenia.</w:t>
      </w:r>
    </w:p>
    <w:p w14:paraId="4B1A43C2" w14:textId="77777777" w:rsidR="00A1602B" w:rsidRPr="00EF70E1" w:rsidRDefault="00A1602B" w:rsidP="00A1602B">
      <w:pPr>
        <w:rPr>
          <w:sz w:val="22"/>
          <w:szCs w:val="22"/>
        </w:rPr>
      </w:pPr>
    </w:p>
    <w:p w14:paraId="49A65932" w14:textId="77777777" w:rsidR="00A1602B" w:rsidRPr="00EF70E1" w:rsidRDefault="00A1602B" w:rsidP="00A1602B">
      <w:pPr>
        <w:rPr>
          <w:sz w:val="22"/>
          <w:szCs w:val="22"/>
        </w:rPr>
      </w:pPr>
      <w:r w:rsidRPr="00EF70E1">
        <w:rPr>
          <w:sz w:val="22"/>
          <w:szCs w:val="22"/>
        </w:rPr>
        <w:t>V prípade, ak úspešný uchádzač nebude mať subdodávateľov, tak túto skutočnosť uvedie do tabuľky.</w:t>
      </w:r>
    </w:p>
    <w:p w14:paraId="0DB8A656" w14:textId="77777777" w:rsidR="00A1602B" w:rsidRPr="00EF70E1" w:rsidRDefault="00A1602B" w:rsidP="00A1602B">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090"/>
        <w:gridCol w:w="3543"/>
      </w:tblGrid>
      <w:tr w:rsidR="00A1602B" w:rsidRPr="00EF70E1" w14:paraId="5C819841" w14:textId="77777777" w:rsidTr="00843E48">
        <w:tc>
          <w:tcPr>
            <w:tcW w:w="1413" w:type="dxa"/>
            <w:tcBorders>
              <w:top w:val="single" w:sz="4" w:space="0" w:color="000000"/>
              <w:left w:val="single" w:sz="4" w:space="0" w:color="000000"/>
              <w:bottom w:val="single" w:sz="4" w:space="0" w:color="000000"/>
              <w:right w:val="single" w:sz="4" w:space="0" w:color="000000"/>
            </w:tcBorders>
            <w:hideMark/>
          </w:tcPr>
          <w:p w14:paraId="7FD1FC8B" w14:textId="77777777" w:rsidR="00A1602B" w:rsidRPr="00EF70E1" w:rsidRDefault="00A1602B" w:rsidP="00843E48">
            <w:pPr>
              <w:spacing w:line="276" w:lineRule="auto"/>
              <w:rPr>
                <w:sz w:val="22"/>
                <w:szCs w:val="22"/>
                <w:lang w:eastAsia="en-US"/>
              </w:rPr>
            </w:pPr>
            <w:r w:rsidRPr="00EF70E1">
              <w:rPr>
                <w:sz w:val="22"/>
                <w:szCs w:val="22"/>
                <w:lang w:eastAsia="en-US"/>
              </w:rPr>
              <w:t>p.č.</w:t>
            </w:r>
          </w:p>
        </w:tc>
        <w:tc>
          <w:tcPr>
            <w:tcW w:w="3090" w:type="dxa"/>
            <w:tcBorders>
              <w:top w:val="single" w:sz="4" w:space="0" w:color="000000"/>
              <w:left w:val="single" w:sz="4" w:space="0" w:color="000000"/>
              <w:bottom w:val="single" w:sz="4" w:space="0" w:color="000000"/>
              <w:right w:val="single" w:sz="4" w:space="0" w:color="000000"/>
            </w:tcBorders>
            <w:hideMark/>
          </w:tcPr>
          <w:p w14:paraId="35D24F64" w14:textId="77777777" w:rsidR="00A1602B" w:rsidRPr="00EF70E1" w:rsidRDefault="00A1602B" w:rsidP="00843E48">
            <w:pPr>
              <w:spacing w:line="276" w:lineRule="auto"/>
              <w:jc w:val="center"/>
              <w:rPr>
                <w:sz w:val="22"/>
                <w:szCs w:val="22"/>
                <w:lang w:eastAsia="en-US"/>
              </w:rPr>
            </w:pPr>
            <w:r w:rsidRPr="00EF70E1">
              <w:rPr>
                <w:sz w:val="22"/>
                <w:szCs w:val="22"/>
                <w:lang w:eastAsia="en-US"/>
              </w:rPr>
              <w:t>Subdodávateľ</w:t>
            </w:r>
          </w:p>
        </w:tc>
        <w:tc>
          <w:tcPr>
            <w:tcW w:w="3543" w:type="dxa"/>
            <w:tcBorders>
              <w:top w:val="single" w:sz="4" w:space="0" w:color="000000"/>
              <w:left w:val="single" w:sz="4" w:space="0" w:color="000000"/>
              <w:bottom w:val="single" w:sz="4" w:space="0" w:color="000000"/>
              <w:right w:val="single" w:sz="4" w:space="0" w:color="000000"/>
            </w:tcBorders>
            <w:hideMark/>
          </w:tcPr>
          <w:p w14:paraId="603C8292" w14:textId="77777777" w:rsidR="00A1602B" w:rsidRPr="00EF70E1" w:rsidRDefault="00A1602B" w:rsidP="00843E48">
            <w:pPr>
              <w:spacing w:line="276" w:lineRule="auto"/>
              <w:jc w:val="center"/>
              <w:rPr>
                <w:sz w:val="22"/>
                <w:szCs w:val="22"/>
                <w:lang w:eastAsia="en-US"/>
              </w:rPr>
            </w:pPr>
            <w:r w:rsidRPr="00EF70E1">
              <w:rPr>
                <w:sz w:val="22"/>
                <w:szCs w:val="22"/>
                <w:lang w:eastAsia="en-US"/>
              </w:rPr>
              <w:t>Údaje o osobe</w:t>
            </w:r>
          </w:p>
          <w:p w14:paraId="0C6A13AD" w14:textId="77777777" w:rsidR="00A1602B" w:rsidRPr="00EF70E1" w:rsidRDefault="00A1602B" w:rsidP="00843E48">
            <w:pPr>
              <w:spacing w:line="276" w:lineRule="auto"/>
              <w:jc w:val="center"/>
              <w:rPr>
                <w:sz w:val="22"/>
                <w:szCs w:val="22"/>
                <w:lang w:eastAsia="en-US"/>
              </w:rPr>
            </w:pPr>
            <w:r w:rsidRPr="00EF70E1">
              <w:rPr>
                <w:sz w:val="22"/>
                <w:szCs w:val="22"/>
                <w:lang w:eastAsia="en-US"/>
              </w:rPr>
              <w:t>oprávnenej konať za subdodávateľa</w:t>
            </w:r>
          </w:p>
        </w:tc>
      </w:tr>
      <w:tr w:rsidR="00A1602B" w:rsidRPr="00EF70E1" w14:paraId="79672FB8" w14:textId="77777777" w:rsidTr="00843E48">
        <w:tc>
          <w:tcPr>
            <w:tcW w:w="1413" w:type="dxa"/>
            <w:tcBorders>
              <w:top w:val="single" w:sz="4" w:space="0" w:color="000000"/>
              <w:left w:val="single" w:sz="4" w:space="0" w:color="000000"/>
              <w:bottom w:val="single" w:sz="4" w:space="0" w:color="000000"/>
              <w:right w:val="single" w:sz="4" w:space="0" w:color="000000"/>
            </w:tcBorders>
          </w:tcPr>
          <w:p w14:paraId="72BAEF98" w14:textId="77777777" w:rsidR="00A1602B" w:rsidRPr="00EF70E1" w:rsidRDefault="00A1602B" w:rsidP="00843E48">
            <w:pPr>
              <w:spacing w:line="276" w:lineRule="auto"/>
              <w:rPr>
                <w:sz w:val="22"/>
                <w:szCs w:val="22"/>
                <w:lang w:eastAsia="en-US"/>
              </w:rPr>
            </w:pPr>
            <w:r w:rsidRPr="00EF70E1">
              <w:rPr>
                <w:sz w:val="22"/>
                <w:szCs w:val="22"/>
                <w:lang w:eastAsia="en-US"/>
              </w:rPr>
              <w:t>1.</w:t>
            </w:r>
          </w:p>
        </w:tc>
        <w:tc>
          <w:tcPr>
            <w:tcW w:w="3090" w:type="dxa"/>
            <w:tcBorders>
              <w:top w:val="single" w:sz="4" w:space="0" w:color="000000"/>
              <w:left w:val="single" w:sz="4" w:space="0" w:color="000000"/>
              <w:bottom w:val="single" w:sz="4" w:space="0" w:color="000000"/>
              <w:right w:val="single" w:sz="4" w:space="0" w:color="000000"/>
            </w:tcBorders>
            <w:vAlign w:val="center"/>
          </w:tcPr>
          <w:p w14:paraId="08868F56"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tcPr>
          <w:p w14:paraId="2D35861F"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r>
      <w:tr w:rsidR="00A1602B" w:rsidRPr="00EF70E1" w14:paraId="373972BB" w14:textId="77777777" w:rsidTr="00843E48">
        <w:tc>
          <w:tcPr>
            <w:tcW w:w="1413" w:type="dxa"/>
            <w:tcBorders>
              <w:top w:val="single" w:sz="4" w:space="0" w:color="000000"/>
              <w:left w:val="single" w:sz="4" w:space="0" w:color="000000"/>
              <w:bottom w:val="single" w:sz="4" w:space="0" w:color="000000"/>
              <w:right w:val="single" w:sz="4" w:space="0" w:color="000000"/>
            </w:tcBorders>
          </w:tcPr>
          <w:p w14:paraId="069EAB98" w14:textId="77777777" w:rsidR="00A1602B" w:rsidRPr="00EF70E1" w:rsidRDefault="00A1602B" w:rsidP="00843E48">
            <w:pPr>
              <w:spacing w:line="276" w:lineRule="auto"/>
              <w:rPr>
                <w:sz w:val="22"/>
                <w:szCs w:val="22"/>
                <w:lang w:eastAsia="en-US"/>
              </w:rPr>
            </w:pPr>
            <w:r w:rsidRPr="00EF70E1">
              <w:rPr>
                <w:sz w:val="22"/>
                <w:szCs w:val="22"/>
                <w:lang w:eastAsia="en-US"/>
              </w:rPr>
              <w:t>2.</w:t>
            </w:r>
          </w:p>
        </w:tc>
        <w:tc>
          <w:tcPr>
            <w:tcW w:w="3090" w:type="dxa"/>
            <w:tcBorders>
              <w:top w:val="single" w:sz="4" w:space="0" w:color="000000"/>
              <w:left w:val="single" w:sz="4" w:space="0" w:color="000000"/>
              <w:bottom w:val="single" w:sz="4" w:space="0" w:color="000000"/>
              <w:right w:val="single" w:sz="4" w:space="0" w:color="000000"/>
            </w:tcBorders>
            <w:vAlign w:val="center"/>
          </w:tcPr>
          <w:p w14:paraId="1029A28A"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tcPr>
          <w:p w14:paraId="284D4414"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r>
      <w:tr w:rsidR="00A1602B" w14:paraId="79CE3CDA" w14:textId="77777777" w:rsidTr="00843E48">
        <w:tc>
          <w:tcPr>
            <w:tcW w:w="1413" w:type="dxa"/>
            <w:tcBorders>
              <w:top w:val="single" w:sz="4" w:space="0" w:color="000000"/>
              <w:left w:val="single" w:sz="4" w:space="0" w:color="000000"/>
              <w:bottom w:val="single" w:sz="4" w:space="0" w:color="000000"/>
              <w:right w:val="single" w:sz="4" w:space="0" w:color="000000"/>
            </w:tcBorders>
            <w:hideMark/>
          </w:tcPr>
          <w:p w14:paraId="31F34401" w14:textId="77777777" w:rsidR="00A1602B" w:rsidRPr="00EF70E1" w:rsidRDefault="00A1602B" w:rsidP="00843E48">
            <w:pPr>
              <w:spacing w:line="276" w:lineRule="auto"/>
              <w:rPr>
                <w:sz w:val="22"/>
                <w:szCs w:val="22"/>
                <w:lang w:eastAsia="en-US"/>
              </w:rPr>
            </w:pPr>
            <w:r w:rsidRPr="00EF70E1">
              <w:rPr>
                <w:sz w:val="22"/>
                <w:szCs w:val="22"/>
                <w:lang w:eastAsia="en-US"/>
              </w:rPr>
              <w:t>3.</w:t>
            </w:r>
          </w:p>
        </w:tc>
        <w:tc>
          <w:tcPr>
            <w:tcW w:w="3090" w:type="dxa"/>
            <w:tcBorders>
              <w:top w:val="single" w:sz="4" w:space="0" w:color="000000"/>
              <w:left w:val="single" w:sz="4" w:space="0" w:color="000000"/>
              <w:bottom w:val="single" w:sz="4" w:space="0" w:color="000000"/>
              <w:right w:val="single" w:sz="4" w:space="0" w:color="000000"/>
            </w:tcBorders>
            <w:vAlign w:val="center"/>
            <w:hideMark/>
          </w:tcPr>
          <w:p w14:paraId="5C84AC8F" w14:textId="77777777" w:rsidR="00A1602B" w:rsidRPr="001C2D84" w:rsidRDefault="00A1602B" w:rsidP="00843E48">
            <w:pPr>
              <w:spacing w:line="276" w:lineRule="auto"/>
              <w:jc w:val="center"/>
              <w:rPr>
                <w:color w:val="FF0000"/>
                <w:sz w:val="22"/>
                <w:szCs w:val="22"/>
                <w:lang w:eastAsia="en-US"/>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68DCCDC0" w14:textId="77777777" w:rsidR="00A1602B" w:rsidRPr="001C2D84" w:rsidRDefault="00A1602B" w:rsidP="00843E48">
            <w:pPr>
              <w:spacing w:line="276" w:lineRule="auto"/>
              <w:jc w:val="center"/>
              <w:rPr>
                <w:color w:val="FF0000"/>
                <w:sz w:val="22"/>
                <w:szCs w:val="22"/>
                <w:lang w:eastAsia="en-US"/>
              </w:rPr>
            </w:pPr>
            <w:r w:rsidRPr="001C2D84">
              <w:rPr>
                <w:color w:val="FF0000"/>
                <w:sz w:val="22"/>
                <w:szCs w:val="22"/>
              </w:rPr>
              <w:t>&lt;vyplní uchádzač&gt;</w:t>
            </w:r>
          </w:p>
        </w:tc>
      </w:tr>
    </w:tbl>
    <w:p w14:paraId="78016BEE" w14:textId="77777777" w:rsidR="00A1602B" w:rsidRPr="004261D8" w:rsidRDefault="00A1602B" w:rsidP="00A1602B">
      <w:pPr>
        <w:spacing w:line="259" w:lineRule="auto"/>
        <w:ind w:left="567" w:hanging="567"/>
        <w:rPr>
          <w:rFonts w:ascii="Gambria" w:hAnsi="Gambria"/>
          <w:sz w:val="22"/>
          <w:szCs w:val="22"/>
        </w:rPr>
      </w:pPr>
    </w:p>
    <w:p w14:paraId="699689A9" w14:textId="77777777" w:rsidR="00A1602B" w:rsidRPr="00A1602B" w:rsidRDefault="00A1602B" w:rsidP="00A1602B">
      <w:pPr>
        <w:rPr>
          <w:rFonts w:ascii="Gambria" w:hAnsi="Gambria" w:cs="Arial"/>
          <w:sz w:val="20"/>
          <w:szCs w:val="20"/>
        </w:rPr>
      </w:pPr>
    </w:p>
    <w:sectPr w:rsidR="00A1602B" w:rsidRPr="00A160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5D764" w14:textId="77777777" w:rsidR="00B30347" w:rsidRDefault="00B30347" w:rsidP="0009480D">
      <w:r>
        <w:separator/>
      </w:r>
    </w:p>
  </w:endnote>
  <w:endnote w:type="continuationSeparator" w:id="0">
    <w:p w14:paraId="36BFCD3F" w14:textId="77777777" w:rsidR="00B30347" w:rsidRDefault="00B30347"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Gambria">
    <w:altName w:val="Cambria"/>
    <w:panose1 w:val="00000000000000000000"/>
    <w:charset w:val="00"/>
    <w:family w:val="roman"/>
    <w:notTrueType/>
    <w:pitch w:val="default"/>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9955"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F3FAA" w14:textId="77777777" w:rsidR="00B30347" w:rsidRDefault="00B30347" w:rsidP="0009480D">
      <w:r>
        <w:separator/>
      </w:r>
    </w:p>
  </w:footnote>
  <w:footnote w:type="continuationSeparator" w:id="0">
    <w:p w14:paraId="0A7F4F25" w14:textId="77777777" w:rsidR="00B30347" w:rsidRDefault="00B30347"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813F3F"/>
    <w:multiLevelType w:val="multilevel"/>
    <w:tmpl w:val="F47AADA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A9081C"/>
    <w:multiLevelType w:val="hybridMultilevel"/>
    <w:tmpl w:val="6EA89DF8"/>
    <w:lvl w:ilvl="0" w:tplc="041B000F">
      <w:start w:val="1"/>
      <w:numFmt w:val="decimal"/>
      <w:lvlText w:val="%1."/>
      <w:lvlJc w:val="left"/>
      <w:pPr>
        <w:ind w:left="720" w:hanging="360"/>
      </w:pPr>
    </w:lvl>
    <w:lvl w:ilvl="1" w:tplc="D18A5914">
      <w:start w:val="1"/>
      <w:numFmt w:val="lowerLetter"/>
      <w:lvlText w:val="%2."/>
      <w:lvlJc w:val="left"/>
      <w:pPr>
        <w:ind w:left="1440" w:hanging="360"/>
      </w:pPr>
      <w:rPr>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2A15284"/>
    <w:multiLevelType w:val="hybridMultilevel"/>
    <w:tmpl w:val="6FD24B76"/>
    <w:lvl w:ilvl="0" w:tplc="99C231D0">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 w15:restartNumberingAfterBreak="0">
    <w:nsid w:val="13C9466E"/>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256CFE"/>
    <w:multiLevelType w:val="hybridMultilevel"/>
    <w:tmpl w:val="02B08EEA"/>
    <w:lvl w:ilvl="0" w:tplc="0FDCCAE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5576E94"/>
    <w:multiLevelType w:val="hybridMultilevel"/>
    <w:tmpl w:val="E8E2D9DA"/>
    <w:lvl w:ilvl="0" w:tplc="C23ABD6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6C349DBC">
      <w:start w:val="1"/>
      <w:numFmt w:val="lowerLetter"/>
      <w:lvlText w:val="%3)"/>
      <w:lvlJc w:val="left"/>
      <w:pPr>
        <w:tabs>
          <w:tab w:val="num" w:pos="2340"/>
        </w:tabs>
        <w:ind w:left="2340" w:hanging="360"/>
      </w:pPr>
      <w:rPr>
        <w:rFonts w:hint="default"/>
      </w:rPr>
    </w:lvl>
    <w:lvl w:ilvl="3" w:tplc="2D52090A">
      <w:start w:val="2"/>
      <w:numFmt w:val="upperLetter"/>
      <w:lvlText w:val="%4)"/>
      <w:lvlJc w:val="left"/>
      <w:pPr>
        <w:ind w:left="1779" w:hanging="360"/>
      </w:pPr>
      <w:rPr>
        <w:rFonts w:ascii="Verdana" w:hAnsi="Verdana"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C372475"/>
    <w:multiLevelType w:val="hybridMultilevel"/>
    <w:tmpl w:val="916EB94C"/>
    <w:lvl w:ilvl="0" w:tplc="74B253BA">
      <w:start w:val="1"/>
      <w:numFmt w:val="lowerLetter"/>
      <w:lvlText w:val="%1)"/>
      <w:lvlJc w:val="left"/>
      <w:pPr>
        <w:ind w:left="1440" w:hanging="360"/>
      </w:pPr>
      <w:rPr>
        <w:rFonts w:ascii="Calibri"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8447F0"/>
    <w:multiLevelType w:val="multilevel"/>
    <w:tmpl w:val="FA7E6B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C5F6FBB"/>
    <w:multiLevelType w:val="hybridMultilevel"/>
    <w:tmpl w:val="DA50EF1C"/>
    <w:lvl w:ilvl="0" w:tplc="49C680E8">
      <w:start w:val="2"/>
      <w:numFmt w:val="bullet"/>
      <w:lvlText w:val="-"/>
      <w:lvlJc w:val="left"/>
      <w:pPr>
        <w:ind w:left="1788" w:hanging="360"/>
      </w:pPr>
      <w:rPr>
        <w:rFonts w:ascii="Calibri" w:eastAsia="Times New Roman" w:hAnsi="Calibri" w:cs="Arial" w:hint="default"/>
      </w:rPr>
    </w:lvl>
    <w:lvl w:ilvl="1" w:tplc="041B0003" w:tentative="1">
      <w:start w:val="1"/>
      <w:numFmt w:val="bullet"/>
      <w:lvlText w:val="o"/>
      <w:lvlJc w:val="left"/>
      <w:pPr>
        <w:ind w:left="2508" w:hanging="360"/>
      </w:pPr>
      <w:rPr>
        <w:rFonts w:ascii="Courier New" w:hAnsi="Courier New" w:cs="Courier New" w:hint="default"/>
      </w:rPr>
    </w:lvl>
    <w:lvl w:ilvl="2" w:tplc="041B0005">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2" w15:restartNumberingAfterBreak="0">
    <w:nsid w:val="2D507FB6"/>
    <w:multiLevelType w:val="hybridMultilevel"/>
    <w:tmpl w:val="46929C64"/>
    <w:lvl w:ilvl="0" w:tplc="3A3A313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ECA31E5"/>
    <w:multiLevelType w:val="multilevel"/>
    <w:tmpl w:val="30A0C590"/>
    <w:lvl w:ilvl="0">
      <w:start w:val="8"/>
      <w:numFmt w:val="decimal"/>
      <w:lvlText w:val="%1"/>
      <w:lvlJc w:val="left"/>
      <w:pPr>
        <w:ind w:left="1026" w:hanging="567"/>
      </w:pPr>
      <w:rPr>
        <w:rFonts w:hint="default"/>
      </w:rPr>
    </w:lvl>
    <w:lvl w:ilvl="1">
      <w:start w:val="1"/>
      <w:numFmt w:val="decimal"/>
      <w:lvlText w:val="%1.%2."/>
      <w:lvlJc w:val="left"/>
      <w:pPr>
        <w:ind w:left="1026" w:hanging="567"/>
      </w:pPr>
      <w:rPr>
        <w:rFonts w:ascii="Cambria" w:eastAsia="Times New Roman" w:hAnsi="Cambria" w:hint="default"/>
        <w:sz w:val="22"/>
        <w:szCs w:val="24"/>
      </w:rPr>
    </w:lvl>
    <w:lvl w:ilvl="2">
      <w:start w:val="1"/>
      <w:numFmt w:val="bullet"/>
      <w:lvlText w:val="•"/>
      <w:lvlJc w:val="left"/>
      <w:pPr>
        <w:ind w:left="2702" w:hanging="567"/>
      </w:pPr>
      <w:rPr>
        <w:rFonts w:hint="default"/>
      </w:rPr>
    </w:lvl>
    <w:lvl w:ilvl="3">
      <w:start w:val="1"/>
      <w:numFmt w:val="bullet"/>
      <w:lvlText w:val="•"/>
      <w:lvlJc w:val="left"/>
      <w:pPr>
        <w:ind w:left="3540" w:hanging="567"/>
      </w:pPr>
      <w:rPr>
        <w:rFonts w:hint="default"/>
      </w:rPr>
    </w:lvl>
    <w:lvl w:ilvl="4">
      <w:start w:val="1"/>
      <w:numFmt w:val="bullet"/>
      <w:lvlText w:val="•"/>
      <w:lvlJc w:val="left"/>
      <w:pPr>
        <w:ind w:left="4378" w:hanging="567"/>
      </w:pPr>
      <w:rPr>
        <w:rFonts w:hint="default"/>
      </w:rPr>
    </w:lvl>
    <w:lvl w:ilvl="5">
      <w:start w:val="1"/>
      <w:numFmt w:val="bullet"/>
      <w:lvlText w:val="•"/>
      <w:lvlJc w:val="left"/>
      <w:pPr>
        <w:ind w:left="5216" w:hanging="567"/>
      </w:pPr>
      <w:rPr>
        <w:rFonts w:hint="default"/>
      </w:rPr>
    </w:lvl>
    <w:lvl w:ilvl="6">
      <w:start w:val="1"/>
      <w:numFmt w:val="bullet"/>
      <w:lvlText w:val="•"/>
      <w:lvlJc w:val="left"/>
      <w:pPr>
        <w:ind w:left="6054" w:hanging="567"/>
      </w:pPr>
      <w:rPr>
        <w:rFonts w:hint="default"/>
      </w:rPr>
    </w:lvl>
    <w:lvl w:ilvl="7">
      <w:start w:val="1"/>
      <w:numFmt w:val="bullet"/>
      <w:lvlText w:val="•"/>
      <w:lvlJc w:val="left"/>
      <w:pPr>
        <w:ind w:left="6892" w:hanging="567"/>
      </w:pPr>
      <w:rPr>
        <w:rFonts w:hint="default"/>
      </w:rPr>
    </w:lvl>
    <w:lvl w:ilvl="8">
      <w:start w:val="1"/>
      <w:numFmt w:val="bullet"/>
      <w:lvlText w:val="•"/>
      <w:lvlJc w:val="left"/>
      <w:pPr>
        <w:ind w:left="7730" w:hanging="567"/>
      </w:pPr>
      <w:rPr>
        <w:rFonts w:hint="default"/>
      </w:rPr>
    </w:lvl>
  </w:abstractNum>
  <w:abstractNum w:abstractNumId="14"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5" w15:restartNumberingAfterBreak="0">
    <w:nsid w:val="382A69DB"/>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B77790D"/>
    <w:multiLevelType w:val="hybridMultilevel"/>
    <w:tmpl w:val="65A86444"/>
    <w:lvl w:ilvl="0" w:tplc="0BF0799A">
      <w:start w:val="1"/>
      <w:numFmt w:val="lowerLetter"/>
      <w:lvlText w:val="%1)"/>
      <w:lvlJc w:val="left"/>
      <w:pPr>
        <w:ind w:left="2160" w:hanging="360"/>
      </w:pPr>
      <w:rPr>
        <w:rFonts w:ascii="Calibri" w:hAnsi="Calibri" w:cs="Aria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3D0E0E48"/>
    <w:multiLevelType w:val="hybridMultilevel"/>
    <w:tmpl w:val="1F4CFC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2F0435E"/>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3B40588"/>
    <w:multiLevelType w:val="hybridMultilevel"/>
    <w:tmpl w:val="E6D4D744"/>
    <w:lvl w:ilvl="0" w:tplc="86BC5FF6">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A130261"/>
    <w:multiLevelType w:val="multilevel"/>
    <w:tmpl w:val="E8F6D7B6"/>
    <w:lvl w:ilvl="0">
      <w:start w:val="1"/>
      <w:numFmt w:val="decimal"/>
      <w:lvlText w:val="%1."/>
      <w:lvlJc w:val="left"/>
      <w:pPr>
        <w:ind w:left="390" w:hanging="390"/>
      </w:pPr>
      <w:rPr>
        <w:rFonts w:hint="default"/>
      </w:rPr>
    </w:lvl>
    <w:lvl w:ilvl="1">
      <w:start w:val="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E293D3B"/>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9B288D"/>
    <w:multiLevelType w:val="hybridMultilevel"/>
    <w:tmpl w:val="77D821FC"/>
    <w:lvl w:ilvl="0" w:tplc="5DF86BC4">
      <w:start w:val="1"/>
      <w:numFmt w:val="lowerLetter"/>
      <w:lvlText w:val="%1)"/>
      <w:lvlJc w:val="left"/>
      <w:pPr>
        <w:ind w:left="2160" w:hanging="360"/>
      </w:pPr>
      <w:rPr>
        <w:rFonts w:hint="default"/>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3FC03A6E">
      <w:start w:val="1"/>
      <w:numFmt w:val="upperLetter"/>
      <w:lvlText w:val="%5)"/>
      <w:lvlJc w:val="left"/>
      <w:pPr>
        <w:ind w:left="5040" w:hanging="360"/>
      </w:pPr>
      <w:rPr>
        <w:rFonts w:hint="default"/>
      </w:r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5" w15:restartNumberingAfterBreak="0">
    <w:nsid w:val="56152F1A"/>
    <w:multiLevelType w:val="hybridMultilevel"/>
    <w:tmpl w:val="3A867898"/>
    <w:lvl w:ilvl="0" w:tplc="DEDE7A1E">
      <w:start w:val="1"/>
      <w:numFmt w:val="lowerLetter"/>
      <w:lvlText w:val="%1)"/>
      <w:lvlJc w:val="left"/>
      <w:pPr>
        <w:tabs>
          <w:tab w:val="num" w:pos="1068"/>
        </w:tabs>
        <w:ind w:left="1068" w:hanging="360"/>
      </w:pPr>
      <w:rPr>
        <w:rFonts w:hint="default"/>
        <w:sz w:val="18"/>
        <w:szCs w:val="18"/>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6" w15:restartNumberingAfterBreak="0">
    <w:nsid w:val="59B962EF"/>
    <w:multiLevelType w:val="multilevel"/>
    <w:tmpl w:val="592440CE"/>
    <w:lvl w:ilvl="0">
      <w:start w:val="1"/>
      <w:numFmt w:val="decimal"/>
      <w:lvlText w:val="%1"/>
      <w:lvlJc w:val="left"/>
      <w:pPr>
        <w:ind w:left="525" w:hanging="525"/>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7" w15:restartNumberingAfterBreak="0">
    <w:nsid w:val="59C06287"/>
    <w:multiLevelType w:val="hybridMultilevel"/>
    <w:tmpl w:val="C1BA9F40"/>
    <w:lvl w:ilvl="0" w:tplc="F6F834D6">
      <w:start w:val="1"/>
      <w:numFmt w:val="lowerLetter"/>
      <w:lvlText w:val="%1)"/>
      <w:lvlJc w:val="left"/>
      <w:pPr>
        <w:ind w:left="284"/>
      </w:pPr>
      <w:rPr>
        <w:rFonts w:ascii="Verdana" w:eastAsia="Calibri"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0821C9"/>
    <w:multiLevelType w:val="multilevel"/>
    <w:tmpl w:val="9D74D1A2"/>
    <w:lvl w:ilvl="0">
      <w:start w:val="12"/>
      <w:numFmt w:val="decimal"/>
      <w:lvlText w:val="%1"/>
      <w:lvlJc w:val="left"/>
      <w:pPr>
        <w:ind w:left="1026" w:hanging="567"/>
      </w:pPr>
      <w:rPr>
        <w:rFonts w:hint="default"/>
      </w:rPr>
    </w:lvl>
    <w:lvl w:ilvl="1">
      <w:start w:val="1"/>
      <w:numFmt w:val="decimal"/>
      <w:lvlText w:val="12.%2."/>
      <w:lvlJc w:val="left"/>
      <w:pPr>
        <w:ind w:left="1026" w:hanging="567"/>
      </w:pPr>
      <w:rPr>
        <w:rFonts w:asciiTheme="majorHAnsi" w:eastAsia="Times New Roman" w:hAnsiTheme="majorHAnsi" w:hint="default"/>
        <w:sz w:val="22"/>
        <w:szCs w:val="24"/>
      </w:rPr>
    </w:lvl>
    <w:lvl w:ilvl="2">
      <w:start w:val="1"/>
      <w:numFmt w:val="bullet"/>
      <w:lvlText w:val="•"/>
      <w:lvlJc w:val="left"/>
      <w:pPr>
        <w:ind w:left="2814" w:hanging="567"/>
      </w:pPr>
      <w:rPr>
        <w:rFonts w:hint="default"/>
      </w:rPr>
    </w:lvl>
    <w:lvl w:ilvl="3">
      <w:start w:val="1"/>
      <w:numFmt w:val="bullet"/>
      <w:lvlText w:val="•"/>
      <w:lvlJc w:val="left"/>
      <w:pPr>
        <w:ind w:left="3708"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496" w:hanging="567"/>
      </w:pPr>
      <w:rPr>
        <w:rFonts w:hint="default"/>
      </w:rPr>
    </w:lvl>
    <w:lvl w:ilvl="6">
      <w:start w:val="1"/>
      <w:numFmt w:val="bullet"/>
      <w:lvlText w:val="•"/>
      <w:lvlJc w:val="left"/>
      <w:pPr>
        <w:ind w:left="6390" w:hanging="567"/>
      </w:pPr>
      <w:rPr>
        <w:rFonts w:hint="default"/>
      </w:rPr>
    </w:lvl>
    <w:lvl w:ilvl="7">
      <w:start w:val="1"/>
      <w:numFmt w:val="bullet"/>
      <w:lvlText w:val="•"/>
      <w:lvlJc w:val="left"/>
      <w:pPr>
        <w:ind w:left="7284" w:hanging="567"/>
      </w:pPr>
      <w:rPr>
        <w:rFonts w:hint="default"/>
      </w:rPr>
    </w:lvl>
    <w:lvl w:ilvl="8">
      <w:start w:val="1"/>
      <w:numFmt w:val="bullet"/>
      <w:lvlText w:val="•"/>
      <w:lvlJc w:val="left"/>
      <w:pPr>
        <w:ind w:left="8178" w:hanging="567"/>
      </w:pPr>
      <w:rPr>
        <w:rFonts w:hint="default"/>
      </w:rPr>
    </w:lvl>
  </w:abstractNum>
  <w:abstractNum w:abstractNumId="29" w15:restartNumberingAfterBreak="0">
    <w:nsid w:val="5E286F60"/>
    <w:multiLevelType w:val="hybridMultilevel"/>
    <w:tmpl w:val="9D646A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FA32C58"/>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FC305BC"/>
    <w:multiLevelType w:val="multilevel"/>
    <w:tmpl w:val="38DA4FD0"/>
    <w:lvl w:ilvl="0">
      <w:start w:val="1"/>
      <w:numFmt w:val="decimal"/>
      <w:lvlText w:val="%1"/>
      <w:lvlJc w:val="left"/>
      <w:pPr>
        <w:ind w:left="480" w:hanging="480"/>
      </w:pPr>
      <w:rPr>
        <w:rFonts w:hint="default"/>
        <w:b w:val="0"/>
      </w:rPr>
    </w:lvl>
    <w:lvl w:ilvl="1">
      <w:start w:val="8"/>
      <w:numFmt w:val="decimal"/>
      <w:lvlText w:val="%1.%2"/>
      <w:lvlJc w:val="left"/>
      <w:pPr>
        <w:ind w:left="1275" w:hanging="720"/>
      </w:pPr>
      <w:rPr>
        <w:rFonts w:hint="default"/>
        <w:b w:val="0"/>
      </w:rPr>
    </w:lvl>
    <w:lvl w:ilvl="2">
      <w:start w:val="1"/>
      <w:numFmt w:val="decimal"/>
      <w:lvlText w:val="%1.%2.%3"/>
      <w:lvlJc w:val="left"/>
      <w:pPr>
        <w:ind w:left="1830" w:hanging="720"/>
      </w:pPr>
      <w:rPr>
        <w:rFonts w:hint="default"/>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32"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2E5095"/>
    <w:multiLevelType w:val="hybridMultilevel"/>
    <w:tmpl w:val="0F36D93A"/>
    <w:lvl w:ilvl="0" w:tplc="041B0017">
      <w:start w:val="1"/>
      <w:numFmt w:val="lowerLetter"/>
      <w:lvlText w:val="%1)"/>
      <w:lvlJc w:val="left"/>
      <w:pPr>
        <w:tabs>
          <w:tab w:val="num" w:pos="2160"/>
        </w:tabs>
        <w:ind w:left="2160" w:hanging="360"/>
      </w:pPr>
    </w:lvl>
    <w:lvl w:ilvl="1" w:tplc="041B0005">
      <w:start w:val="1"/>
      <w:numFmt w:val="bullet"/>
      <w:lvlText w:val=""/>
      <w:lvlJc w:val="left"/>
      <w:pPr>
        <w:tabs>
          <w:tab w:val="num" w:pos="2880"/>
        </w:tabs>
        <w:ind w:left="2880" w:hanging="360"/>
      </w:pPr>
      <w:rPr>
        <w:rFonts w:ascii="Wingdings" w:hAnsi="Wingdings" w:hint="default"/>
      </w:rPr>
    </w:lvl>
    <w:lvl w:ilvl="2" w:tplc="EC94A54A">
      <w:start w:val="1"/>
      <w:numFmt w:val="decimal"/>
      <w:lvlText w:val="%3)"/>
      <w:lvlJc w:val="left"/>
      <w:pPr>
        <w:ind w:left="3780" w:hanging="360"/>
      </w:pPr>
      <w:rPr>
        <w:rFonts w:hint="default"/>
      </w:rPr>
    </w:lvl>
    <w:lvl w:ilvl="3" w:tplc="2C8C7AA4">
      <w:start w:val="1"/>
      <w:numFmt w:val="decimal"/>
      <w:lvlText w:val="%4."/>
      <w:lvlJc w:val="left"/>
      <w:pPr>
        <w:ind w:left="4320" w:hanging="360"/>
      </w:pPr>
      <w:rPr>
        <w:rFonts w:hint="default"/>
      </w:rPr>
    </w:lvl>
    <w:lvl w:ilvl="4" w:tplc="041B0019" w:tentative="1">
      <w:start w:val="1"/>
      <w:numFmt w:val="lowerLetter"/>
      <w:lvlText w:val="%5."/>
      <w:lvlJc w:val="left"/>
      <w:pPr>
        <w:tabs>
          <w:tab w:val="num" w:pos="5040"/>
        </w:tabs>
        <w:ind w:left="5040" w:hanging="360"/>
      </w:pPr>
    </w:lvl>
    <w:lvl w:ilvl="5" w:tplc="041B001B" w:tentative="1">
      <w:start w:val="1"/>
      <w:numFmt w:val="lowerRoman"/>
      <w:lvlText w:val="%6."/>
      <w:lvlJc w:val="right"/>
      <w:pPr>
        <w:tabs>
          <w:tab w:val="num" w:pos="5760"/>
        </w:tabs>
        <w:ind w:left="5760" w:hanging="180"/>
      </w:pPr>
    </w:lvl>
    <w:lvl w:ilvl="6" w:tplc="041B000F" w:tentative="1">
      <w:start w:val="1"/>
      <w:numFmt w:val="decimal"/>
      <w:lvlText w:val="%7."/>
      <w:lvlJc w:val="left"/>
      <w:pPr>
        <w:tabs>
          <w:tab w:val="num" w:pos="6480"/>
        </w:tabs>
        <w:ind w:left="6480" w:hanging="360"/>
      </w:pPr>
    </w:lvl>
    <w:lvl w:ilvl="7" w:tplc="041B0019" w:tentative="1">
      <w:start w:val="1"/>
      <w:numFmt w:val="lowerLetter"/>
      <w:lvlText w:val="%8."/>
      <w:lvlJc w:val="left"/>
      <w:pPr>
        <w:tabs>
          <w:tab w:val="num" w:pos="7200"/>
        </w:tabs>
        <w:ind w:left="7200" w:hanging="360"/>
      </w:pPr>
    </w:lvl>
    <w:lvl w:ilvl="8" w:tplc="041B001B" w:tentative="1">
      <w:start w:val="1"/>
      <w:numFmt w:val="lowerRoman"/>
      <w:lvlText w:val="%9."/>
      <w:lvlJc w:val="right"/>
      <w:pPr>
        <w:tabs>
          <w:tab w:val="num" w:pos="7920"/>
        </w:tabs>
        <w:ind w:left="7920" w:hanging="180"/>
      </w:pPr>
    </w:lvl>
  </w:abstractNum>
  <w:abstractNum w:abstractNumId="34" w15:restartNumberingAfterBreak="0">
    <w:nsid w:val="6CE614CC"/>
    <w:multiLevelType w:val="multilevel"/>
    <w:tmpl w:val="C52260B0"/>
    <w:lvl w:ilvl="0">
      <w:start w:val="1"/>
      <w:numFmt w:val="decimal"/>
      <w:lvlText w:val="%1."/>
      <w:lvlJc w:val="left"/>
      <w:pPr>
        <w:ind w:left="720" w:hanging="360"/>
      </w:pPr>
      <w:rPr>
        <w:b w:val="0"/>
        <w:i w:val="0"/>
      </w:rPr>
    </w:lvl>
    <w:lvl w:ilvl="1">
      <w:start w:val="6"/>
      <w:numFmt w:val="decimal"/>
      <w:isLgl/>
      <w:lvlText w:val="%1.%2"/>
      <w:lvlJc w:val="left"/>
      <w:pPr>
        <w:ind w:left="1369"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35" w15:restartNumberingAfterBreak="0">
    <w:nsid w:val="6E1861EB"/>
    <w:multiLevelType w:val="multilevel"/>
    <w:tmpl w:val="9B8CC142"/>
    <w:lvl w:ilvl="0">
      <w:start w:val="1"/>
      <w:numFmt w:val="decimal"/>
      <w:lvlText w:val="%1"/>
      <w:lvlJc w:val="left"/>
      <w:pPr>
        <w:ind w:left="525" w:hanging="525"/>
      </w:pPr>
      <w:rPr>
        <w:rFonts w:hint="default"/>
      </w:rPr>
    </w:lvl>
    <w:lvl w:ilvl="1">
      <w:start w:val="4"/>
      <w:numFmt w:val="decimal"/>
      <w:lvlText w:val="%1.%2"/>
      <w:lvlJc w:val="left"/>
      <w:pPr>
        <w:ind w:left="1710" w:hanging="72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6" w15:restartNumberingAfterBreak="0">
    <w:nsid w:val="73DB6E18"/>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0" w15:restartNumberingAfterBreak="0">
    <w:nsid w:val="7D7C3FF3"/>
    <w:multiLevelType w:val="hybridMultilevel"/>
    <w:tmpl w:val="EDAA3A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0B28D2"/>
    <w:multiLevelType w:val="multilevel"/>
    <w:tmpl w:val="5F48D7CA"/>
    <w:lvl w:ilvl="0">
      <w:start w:val="1"/>
      <w:numFmt w:val="decimal"/>
      <w:lvlText w:val="%1."/>
      <w:lvlJc w:val="left"/>
      <w:pPr>
        <w:ind w:left="589" w:hanging="360"/>
      </w:pPr>
      <w:rPr>
        <w:rFonts w:ascii="Verdana" w:eastAsia="Times New Roman" w:hAnsi="Verdana" w:cs="Times New Roman" w:hint="default"/>
        <w:b/>
        <w:bCs/>
        <w:sz w:val="18"/>
        <w:szCs w:val="18"/>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num w:numId="1">
    <w:abstractNumId w:val="37"/>
  </w:num>
  <w:num w:numId="2">
    <w:abstractNumId w:val="32"/>
  </w:num>
  <w:num w:numId="3">
    <w:abstractNumId w:val="7"/>
    <w:lvlOverride w:ilvl="0">
      <w:startOverride w:val="1"/>
    </w:lvlOverride>
  </w:num>
  <w:num w:numId="4">
    <w:abstractNumId w:val="39"/>
    <w:lvlOverride w:ilvl="0">
      <w:startOverride w:val="1"/>
    </w:lvlOverride>
  </w:num>
  <w:num w:numId="5">
    <w:abstractNumId w:val="25"/>
  </w:num>
  <w:num w:numId="6">
    <w:abstractNumId w:val="38"/>
  </w:num>
  <w:num w:numId="7">
    <w:abstractNumId w:val="27"/>
  </w:num>
  <w:num w:numId="8">
    <w:abstractNumId w:val="41"/>
  </w:num>
  <w:num w:numId="9">
    <w:abstractNumId w:val="21"/>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0"/>
  </w:num>
  <w:num w:numId="15">
    <w:abstractNumId w:val="34"/>
  </w:num>
  <w:num w:numId="16">
    <w:abstractNumId w:val="29"/>
  </w:num>
  <w:num w:numId="17">
    <w:abstractNumId w:val="1"/>
  </w:num>
  <w:num w:numId="18">
    <w:abstractNumId w:val="11"/>
  </w:num>
  <w:num w:numId="19">
    <w:abstractNumId w:val="33"/>
  </w:num>
  <w:num w:numId="20">
    <w:abstractNumId w:val="20"/>
  </w:num>
  <w:num w:numId="21">
    <w:abstractNumId w:val="24"/>
  </w:num>
  <w:num w:numId="22">
    <w:abstractNumId w:val="6"/>
  </w:num>
  <w:num w:numId="23">
    <w:abstractNumId w:val="5"/>
  </w:num>
  <w:num w:numId="24">
    <w:abstractNumId w:val="8"/>
  </w:num>
  <w:num w:numId="25">
    <w:abstractNumId w:val="16"/>
  </w:num>
  <w:num w:numId="26">
    <w:abstractNumId w:val="12"/>
  </w:num>
  <w:num w:numId="27">
    <w:abstractNumId w:val="3"/>
  </w:num>
  <w:num w:numId="28">
    <w:abstractNumId w:val="35"/>
  </w:num>
  <w:num w:numId="29">
    <w:abstractNumId w:val="26"/>
  </w:num>
  <w:num w:numId="30">
    <w:abstractNumId w:val="22"/>
  </w:num>
  <w:num w:numId="31">
    <w:abstractNumId w:val="3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num>
  <w:num w:numId="37">
    <w:abstractNumId w:val="28"/>
  </w:num>
  <w:num w:numId="38">
    <w:abstractNumId w:val="2"/>
  </w:num>
  <w:num w:numId="39">
    <w:abstractNumId w:val="40"/>
  </w:num>
  <w:num w:numId="40">
    <w:abstractNumId w:val="36"/>
  </w:num>
  <w:num w:numId="41">
    <w:abstractNumId w:val="30"/>
  </w:num>
  <w:num w:numId="42">
    <w:abstractNumId w:val="15"/>
  </w:num>
  <w:num w:numId="43">
    <w:abstractNumId w:val="19"/>
  </w:num>
  <w:num w:numId="44">
    <w:abstractNumId w:val="4"/>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2B"/>
    <w:rsid w:val="0009480D"/>
    <w:rsid w:val="00130860"/>
    <w:rsid w:val="001663B6"/>
    <w:rsid w:val="001A694C"/>
    <w:rsid w:val="001B5C44"/>
    <w:rsid w:val="001D01FE"/>
    <w:rsid w:val="001D5F9F"/>
    <w:rsid w:val="001D7D85"/>
    <w:rsid w:val="00225679"/>
    <w:rsid w:val="002B4CD0"/>
    <w:rsid w:val="003636B5"/>
    <w:rsid w:val="00392F01"/>
    <w:rsid w:val="004100B0"/>
    <w:rsid w:val="00445B18"/>
    <w:rsid w:val="004D7E2D"/>
    <w:rsid w:val="005316F2"/>
    <w:rsid w:val="00564381"/>
    <w:rsid w:val="005939CC"/>
    <w:rsid w:val="005A1CD3"/>
    <w:rsid w:val="006470E3"/>
    <w:rsid w:val="00782367"/>
    <w:rsid w:val="00787300"/>
    <w:rsid w:val="00822ED2"/>
    <w:rsid w:val="009841D6"/>
    <w:rsid w:val="009A6FA0"/>
    <w:rsid w:val="00A1602B"/>
    <w:rsid w:val="00A719D6"/>
    <w:rsid w:val="00B30347"/>
    <w:rsid w:val="00B31C02"/>
    <w:rsid w:val="00B42F36"/>
    <w:rsid w:val="00BA4BE5"/>
    <w:rsid w:val="00C14928"/>
    <w:rsid w:val="00C35E8A"/>
    <w:rsid w:val="00C52F99"/>
    <w:rsid w:val="00CB7C08"/>
    <w:rsid w:val="00E819E2"/>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BE29"/>
  <w15:chartTrackingRefBased/>
  <w15:docId w15:val="{0044ED67-5CBD-4143-B4FD-55B2CC67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2B"/>
    <w:pPr>
      <w:spacing w:after="0" w:line="240" w:lineRule="auto"/>
    </w:pPr>
    <w:rPr>
      <w:rFonts w:ascii="Times New Roman" w:eastAsia="Times New Roman" w:hAnsi="Times New Roman" w:cs="Times New Roman"/>
      <w:noProof/>
      <w:sz w:val="24"/>
      <w:szCs w:val="24"/>
      <w:lang w:eastAsia="sk-SK"/>
    </w:rPr>
  </w:style>
  <w:style w:type="paragraph" w:styleId="Heading1">
    <w:name w:val="heading 1"/>
    <w:basedOn w:val="Normal"/>
    <w:next w:val="Normal"/>
    <w:link w:val="Heading1Char"/>
    <w:uiPriority w:val="9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BodyText">
    <w:name w:val="Body Text"/>
    <w:aliases w:val="b,subtitle2"/>
    <w:basedOn w:val="Normal"/>
    <w:link w:val="BodyTextChar"/>
    <w:uiPriority w:val="99"/>
    <w:rsid w:val="00A1602B"/>
    <w:pPr>
      <w:jc w:val="both"/>
    </w:pPr>
  </w:style>
  <w:style w:type="character" w:customStyle="1" w:styleId="BodyTextChar">
    <w:name w:val="Body Text Char"/>
    <w:aliases w:val="b Char,subtitle2 Char"/>
    <w:basedOn w:val="DefaultParagraphFont"/>
    <w:link w:val="BodyText"/>
    <w:uiPriority w:val="99"/>
    <w:rsid w:val="00A1602B"/>
    <w:rPr>
      <w:rFonts w:ascii="Times New Roman" w:eastAsia="Times New Roman" w:hAnsi="Times New Roman" w:cs="Times New Roman"/>
      <w:noProof/>
      <w:sz w:val="24"/>
      <w:szCs w:val="24"/>
      <w:lang w:eastAsia="sk-SK"/>
    </w:rPr>
  </w:style>
  <w:style w:type="paragraph" w:styleId="BodyTextIndent">
    <w:name w:val="Body Text Indent"/>
    <w:basedOn w:val="Normal"/>
    <w:link w:val="BodyTextIndentChar"/>
    <w:unhideWhenUsed/>
    <w:rsid w:val="00A1602B"/>
    <w:pPr>
      <w:spacing w:after="120"/>
      <w:ind w:left="283"/>
    </w:pPr>
  </w:style>
  <w:style w:type="character" w:customStyle="1" w:styleId="BodyTextIndentChar">
    <w:name w:val="Body Text Indent Char"/>
    <w:basedOn w:val="DefaultParagraphFont"/>
    <w:link w:val="BodyTextIndent"/>
    <w:rsid w:val="00A1602B"/>
    <w:rPr>
      <w:rFonts w:ascii="Times New Roman" w:eastAsia="Times New Roman" w:hAnsi="Times New Roman" w:cs="Times New Roman"/>
      <w:noProof/>
      <w:sz w:val="24"/>
      <w:szCs w:val="24"/>
      <w:lang w:eastAsia="sk-SK"/>
    </w:rPr>
  </w:style>
  <w:style w:type="paragraph" w:styleId="BodyTextIndent2">
    <w:name w:val="Body Text Indent 2"/>
    <w:basedOn w:val="Normal"/>
    <w:link w:val="BodyTextIndent2Char"/>
    <w:unhideWhenUsed/>
    <w:rsid w:val="00A1602B"/>
    <w:pPr>
      <w:spacing w:after="120" w:line="480" w:lineRule="auto"/>
      <w:ind w:left="283"/>
    </w:pPr>
  </w:style>
  <w:style w:type="character" w:customStyle="1" w:styleId="BodyTextIndent2Char">
    <w:name w:val="Body Text Indent 2 Char"/>
    <w:basedOn w:val="DefaultParagraphFont"/>
    <w:link w:val="BodyTextIndent2"/>
    <w:rsid w:val="00A1602B"/>
    <w:rPr>
      <w:rFonts w:ascii="Times New Roman" w:eastAsia="Times New Roman" w:hAnsi="Times New Roman" w:cs="Times New Roman"/>
      <w:noProof/>
      <w:sz w:val="24"/>
      <w:szCs w:val="24"/>
      <w:lang w:eastAsia="sk-SK"/>
    </w:rPr>
  </w:style>
  <w:style w:type="paragraph" w:styleId="Title">
    <w:name w:val="Title"/>
    <w:basedOn w:val="Normal"/>
    <w:next w:val="BodyText"/>
    <w:link w:val="TitleChar"/>
    <w:qFormat/>
    <w:rsid w:val="00A1602B"/>
    <w:pPr>
      <w:keepNext/>
      <w:widowControl w:val="0"/>
      <w:autoSpaceDE w:val="0"/>
      <w:autoSpaceDN w:val="0"/>
      <w:adjustRightInd w:val="0"/>
      <w:spacing w:before="240" w:after="120"/>
      <w:ind w:left="851" w:hanging="851"/>
      <w:jc w:val="both"/>
    </w:pPr>
    <w:rPr>
      <w:rFonts w:ascii="Arial" w:eastAsia="MS Mincho" w:hAnsi="Arial" w:cs="Arial"/>
      <w:noProof w:val="0"/>
      <w:sz w:val="28"/>
      <w:szCs w:val="28"/>
    </w:rPr>
  </w:style>
  <w:style w:type="character" w:customStyle="1" w:styleId="TitleChar">
    <w:name w:val="Title Char"/>
    <w:basedOn w:val="DefaultParagraphFont"/>
    <w:link w:val="Title"/>
    <w:rsid w:val="00A1602B"/>
    <w:rPr>
      <w:rFonts w:ascii="Arial" w:eastAsia="MS Mincho" w:hAnsi="Arial" w:cs="Arial"/>
      <w:sz w:val="28"/>
      <w:szCs w:val="28"/>
      <w:lang w:eastAsia="sk-SK"/>
    </w:rPr>
  </w:style>
  <w:style w:type="paragraph" w:styleId="ListParagraph">
    <w:name w:val="List Paragraph"/>
    <w:aliases w:val="Odsek"/>
    <w:basedOn w:val="Normal"/>
    <w:link w:val="ListParagraphChar"/>
    <w:uiPriority w:val="34"/>
    <w:qFormat/>
    <w:rsid w:val="00A1602B"/>
    <w:pPr>
      <w:widowControl w:val="0"/>
      <w:autoSpaceDE w:val="0"/>
      <w:autoSpaceDN w:val="0"/>
      <w:adjustRightInd w:val="0"/>
      <w:ind w:left="708" w:hanging="851"/>
      <w:jc w:val="both"/>
    </w:pPr>
    <w:rPr>
      <w:noProof w:val="0"/>
    </w:rPr>
  </w:style>
  <w:style w:type="paragraph" w:styleId="BodyText2">
    <w:name w:val="Body Text 2"/>
    <w:basedOn w:val="Normal"/>
    <w:link w:val="BodyText2Char"/>
    <w:uiPriority w:val="99"/>
    <w:semiHidden/>
    <w:unhideWhenUsed/>
    <w:rsid w:val="00A1602B"/>
    <w:pPr>
      <w:widowControl w:val="0"/>
      <w:autoSpaceDE w:val="0"/>
      <w:autoSpaceDN w:val="0"/>
      <w:adjustRightInd w:val="0"/>
      <w:spacing w:after="120" w:line="480" w:lineRule="auto"/>
      <w:ind w:left="851" w:hanging="851"/>
      <w:jc w:val="both"/>
    </w:pPr>
    <w:rPr>
      <w:noProof w:val="0"/>
    </w:rPr>
  </w:style>
  <w:style w:type="character" w:customStyle="1" w:styleId="BodyText2Char">
    <w:name w:val="Body Text 2 Char"/>
    <w:basedOn w:val="DefaultParagraphFont"/>
    <w:link w:val="BodyText2"/>
    <w:uiPriority w:val="99"/>
    <w:semiHidden/>
    <w:rsid w:val="00A1602B"/>
    <w:rPr>
      <w:rFonts w:ascii="Times New Roman" w:eastAsia="Times New Roman" w:hAnsi="Times New Roman" w:cs="Times New Roman"/>
      <w:sz w:val="24"/>
      <w:szCs w:val="24"/>
      <w:lang w:eastAsia="sk-SK"/>
    </w:rPr>
  </w:style>
  <w:style w:type="paragraph" w:customStyle="1" w:styleId="milos">
    <w:name w:val="milos"/>
    <w:basedOn w:val="Normal"/>
    <w:rsid w:val="00A1602B"/>
    <w:pPr>
      <w:widowControl w:val="0"/>
      <w:tabs>
        <w:tab w:val="left" w:pos="567"/>
      </w:tabs>
      <w:ind w:left="567"/>
    </w:pPr>
    <w:rPr>
      <w:rFonts w:ascii="EEL1 Aval" w:hAnsi="EEL1 Aval"/>
      <w:noProof w:val="0"/>
      <w:lang w:val="de-DE"/>
    </w:rPr>
  </w:style>
  <w:style w:type="character" w:styleId="CommentReference">
    <w:name w:val="annotation reference"/>
    <w:basedOn w:val="DefaultParagraphFont"/>
    <w:uiPriority w:val="99"/>
    <w:semiHidden/>
    <w:unhideWhenUsed/>
    <w:rsid w:val="00A1602B"/>
    <w:rPr>
      <w:sz w:val="16"/>
      <w:szCs w:val="16"/>
    </w:rPr>
  </w:style>
  <w:style w:type="paragraph" w:styleId="CommentText">
    <w:name w:val="annotation text"/>
    <w:basedOn w:val="Normal"/>
    <w:link w:val="CommentTextChar"/>
    <w:uiPriority w:val="99"/>
    <w:unhideWhenUsed/>
    <w:rsid w:val="00A1602B"/>
    <w:pPr>
      <w:widowControl w:val="0"/>
      <w:autoSpaceDE w:val="0"/>
      <w:autoSpaceDN w:val="0"/>
      <w:adjustRightInd w:val="0"/>
      <w:ind w:left="851" w:hanging="851"/>
      <w:jc w:val="both"/>
    </w:pPr>
    <w:rPr>
      <w:noProof w:val="0"/>
      <w:sz w:val="20"/>
      <w:szCs w:val="20"/>
    </w:rPr>
  </w:style>
  <w:style w:type="character" w:customStyle="1" w:styleId="CommentTextChar">
    <w:name w:val="Comment Text Char"/>
    <w:basedOn w:val="DefaultParagraphFont"/>
    <w:link w:val="CommentText"/>
    <w:uiPriority w:val="99"/>
    <w:rsid w:val="00A1602B"/>
    <w:rPr>
      <w:rFonts w:ascii="Times New Roman" w:eastAsia="Times New Roman" w:hAnsi="Times New Roman" w:cs="Times New Roman"/>
      <w:lang w:eastAsia="sk-SK"/>
    </w:rPr>
  </w:style>
  <w:style w:type="paragraph" w:styleId="CommentSubject">
    <w:name w:val="annotation subject"/>
    <w:basedOn w:val="CommentText"/>
    <w:next w:val="CommentText"/>
    <w:link w:val="CommentSubjectChar"/>
    <w:uiPriority w:val="99"/>
    <w:semiHidden/>
    <w:unhideWhenUsed/>
    <w:rsid w:val="00A1602B"/>
    <w:rPr>
      <w:b/>
      <w:bCs/>
    </w:rPr>
  </w:style>
  <w:style w:type="character" w:customStyle="1" w:styleId="CommentSubjectChar">
    <w:name w:val="Comment Subject Char"/>
    <w:basedOn w:val="CommentTextChar"/>
    <w:link w:val="CommentSubject"/>
    <w:uiPriority w:val="99"/>
    <w:semiHidden/>
    <w:rsid w:val="00A1602B"/>
    <w:rPr>
      <w:rFonts w:ascii="Times New Roman" w:eastAsia="Times New Roman" w:hAnsi="Times New Roman" w:cs="Times New Roman"/>
      <w:b/>
      <w:bCs/>
      <w:lang w:eastAsia="sk-SK"/>
    </w:rPr>
  </w:style>
  <w:style w:type="paragraph" w:styleId="BalloonText">
    <w:name w:val="Balloon Text"/>
    <w:basedOn w:val="Normal"/>
    <w:link w:val="BalloonTextChar"/>
    <w:uiPriority w:val="99"/>
    <w:semiHidden/>
    <w:unhideWhenUsed/>
    <w:rsid w:val="00A1602B"/>
    <w:pPr>
      <w:widowControl w:val="0"/>
      <w:autoSpaceDE w:val="0"/>
      <w:autoSpaceDN w:val="0"/>
      <w:adjustRightInd w:val="0"/>
      <w:ind w:left="851" w:hanging="851"/>
      <w:jc w:val="both"/>
    </w:pPr>
    <w:rPr>
      <w:rFonts w:ascii="Segoe UI" w:hAnsi="Segoe UI" w:cs="Segoe UI"/>
      <w:noProof w:val="0"/>
      <w:sz w:val="18"/>
      <w:szCs w:val="18"/>
    </w:rPr>
  </w:style>
  <w:style w:type="character" w:customStyle="1" w:styleId="BalloonTextChar">
    <w:name w:val="Balloon Text Char"/>
    <w:basedOn w:val="DefaultParagraphFont"/>
    <w:link w:val="BalloonText"/>
    <w:uiPriority w:val="99"/>
    <w:semiHidden/>
    <w:rsid w:val="00A1602B"/>
    <w:rPr>
      <w:rFonts w:ascii="Segoe UI" w:eastAsia="Times New Roman" w:hAnsi="Segoe UI" w:cs="Segoe UI"/>
      <w:sz w:val="18"/>
      <w:szCs w:val="18"/>
      <w:lang w:eastAsia="sk-SK"/>
    </w:rPr>
  </w:style>
  <w:style w:type="paragraph" w:customStyle="1" w:styleId="Default">
    <w:name w:val="Default"/>
    <w:basedOn w:val="Normal"/>
    <w:rsid w:val="00A1602B"/>
    <w:pPr>
      <w:autoSpaceDE w:val="0"/>
      <w:autoSpaceDN w:val="0"/>
    </w:pPr>
    <w:rPr>
      <w:rFonts w:ascii="EUAlbertina" w:eastAsiaTheme="minorHAnsi" w:hAnsi="EUAlbertina"/>
      <w:noProof w:val="0"/>
      <w:color w:val="000000"/>
      <w:lang w:eastAsia="en-US"/>
    </w:rPr>
  </w:style>
  <w:style w:type="character" w:customStyle="1" w:styleId="ra">
    <w:name w:val="ra"/>
    <w:basedOn w:val="DefaultParagraphFont"/>
    <w:rsid w:val="00A1602B"/>
  </w:style>
  <w:style w:type="paragraph" w:styleId="BodyTextIndent3">
    <w:name w:val="Body Text Indent 3"/>
    <w:basedOn w:val="Normal"/>
    <w:link w:val="BodyTextIndent3Char"/>
    <w:uiPriority w:val="99"/>
    <w:semiHidden/>
    <w:unhideWhenUsed/>
    <w:rsid w:val="00A1602B"/>
    <w:pPr>
      <w:widowControl w:val="0"/>
      <w:autoSpaceDE w:val="0"/>
      <w:autoSpaceDN w:val="0"/>
      <w:adjustRightInd w:val="0"/>
      <w:spacing w:after="120"/>
      <w:ind w:left="283" w:hanging="851"/>
      <w:jc w:val="both"/>
    </w:pPr>
    <w:rPr>
      <w:noProof w:val="0"/>
      <w:sz w:val="16"/>
      <w:szCs w:val="16"/>
    </w:rPr>
  </w:style>
  <w:style w:type="character" w:customStyle="1" w:styleId="BodyTextIndent3Char">
    <w:name w:val="Body Text Indent 3 Char"/>
    <w:basedOn w:val="DefaultParagraphFont"/>
    <w:link w:val="BodyTextIndent3"/>
    <w:uiPriority w:val="99"/>
    <w:semiHidden/>
    <w:rsid w:val="00A1602B"/>
    <w:rPr>
      <w:rFonts w:ascii="Times New Roman" w:eastAsia="Times New Roman" w:hAnsi="Times New Roman" w:cs="Times New Roman"/>
      <w:sz w:val="16"/>
      <w:szCs w:val="16"/>
      <w:lang w:eastAsia="sk-SK"/>
    </w:rPr>
  </w:style>
  <w:style w:type="paragraph" w:customStyle="1" w:styleId="Predmetpoistenia">
    <w:name w:val="Predmet poistenia"/>
    <w:basedOn w:val="Normal"/>
    <w:rsid w:val="00A1602B"/>
    <w:pPr>
      <w:spacing w:line="200" w:lineRule="exact"/>
      <w:jc w:val="both"/>
    </w:pPr>
    <w:rPr>
      <w:rFonts w:ascii="Arial" w:hAnsi="Arial" w:cs="Arial"/>
      <w:noProof w:val="0"/>
      <w:sz w:val="16"/>
      <w:szCs w:val="20"/>
    </w:rPr>
  </w:style>
  <w:style w:type="character" w:customStyle="1" w:styleId="apple-style-span">
    <w:name w:val="apple-style-span"/>
    <w:basedOn w:val="DefaultParagraphFont"/>
    <w:rsid w:val="00A1602B"/>
  </w:style>
  <w:style w:type="character" w:styleId="Hyperlink">
    <w:name w:val="Hyperlink"/>
    <w:semiHidden/>
    <w:unhideWhenUsed/>
    <w:rsid w:val="00A1602B"/>
    <w:rPr>
      <w:color w:val="0000FF"/>
      <w:u w:val="single"/>
    </w:rPr>
  </w:style>
  <w:style w:type="paragraph" w:styleId="Subtitle">
    <w:name w:val="Subtitle"/>
    <w:basedOn w:val="Normal"/>
    <w:link w:val="SubtitleChar"/>
    <w:uiPriority w:val="99"/>
    <w:qFormat/>
    <w:rsid w:val="00A1602B"/>
    <w:pPr>
      <w:jc w:val="center"/>
    </w:pPr>
    <w:rPr>
      <w:b/>
      <w:noProof w:val="0"/>
      <w:sz w:val="28"/>
      <w:szCs w:val="20"/>
      <w:lang w:val="en-US" w:eastAsia="x-none"/>
    </w:rPr>
  </w:style>
  <w:style w:type="character" w:customStyle="1" w:styleId="SubtitleChar">
    <w:name w:val="Subtitle Char"/>
    <w:basedOn w:val="DefaultParagraphFont"/>
    <w:link w:val="Subtitle"/>
    <w:uiPriority w:val="99"/>
    <w:rsid w:val="00A1602B"/>
    <w:rPr>
      <w:rFonts w:ascii="Times New Roman" w:eastAsia="Times New Roman" w:hAnsi="Times New Roman" w:cs="Times New Roman"/>
      <w:b/>
      <w:sz w:val="28"/>
      <w:lang w:val="en-US" w:eastAsia="x-none"/>
    </w:rPr>
  </w:style>
  <w:style w:type="character" w:customStyle="1" w:styleId="ListParagraphChar">
    <w:name w:val="List Paragraph Char"/>
    <w:aliases w:val="Odsek Char"/>
    <w:link w:val="ListParagraph"/>
    <w:uiPriority w:val="34"/>
    <w:rsid w:val="00A1602B"/>
    <w:rPr>
      <w:rFonts w:ascii="Times New Roman" w:eastAsia="Times New Roman" w:hAnsi="Times New Roman" w:cs="Times New Roman"/>
      <w:sz w:val="24"/>
      <w:szCs w:val="24"/>
      <w:lang w:eastAsia="sk-SK"/>
    </w:rPr>
  </w:style>
  <w:style w:type="character" w:customStyle="1" w:styleId="Zkladntext2">
    <w:name w:val="Základný text (2)_"/>
    <w:link w:val="Zkladntext20"/>
    <w:rsid w:val="00A1602B"/>
    <w:rPr>
      <w:rFonts w:ascii="Arial" w:eastAsia="Arial" w:hAnsi="Arial" w:cs="Arial"/>
      <w:shd w:val="clear" w:color="auto" w:fill="FFFFFF"/>
    </w:rPr>
  </w:style>
  <w:style w:type="paragraph" w:customStyle="1" w:styleId="Zkladntext20">
    <w:name w:val="Základný text (2)"/>
    <w:basedOn w:val="Normal"/>
    <w:link w:val="Zkladntext2"/>
    <w:rsid w:val="00A1602B"/>
    <w:pPr>
      <w:widowControl w:val="0"/>
      <w:shd w:val="clear" w:color="auto" w:fill="FFFFFF"/>
      <w:spacing w:before="300" w:after="1080" w:line="270" w:lineRule="exact"/>
      <w:ind w:hanging="400"/>
      <w:jc w:val="both"/>
    </w:pPr>
    <w:rPr>
      <w:rFonts w:ascii="Arial" w:eastAsia="Arial" w:hAnsi="Arial" w:cs="Arial"/>
      <w:noProof w:val="0"/>
      <w:sz w:val="20"/>
      <w:szCs w:val="20"/>
      <w:lang w:eastAsia="en-US"/>
    </w:rPr>
  </w:style>
  <w:style w:type="table" w:styleId="TableGrid">
    <w:name w:val="Table Grid"/>
    <w:basedOn w:val="TableNormal"/>
    <w:uiPriority w:val="39"/>
    <w:rsid w:val="00A1602B"/>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602B"/>
    <w:rPr>
      <w:b/>
      <w:bCs/>
    </w:rPr>
  </w:style>
  <w:style w:type="character" w:customStyle="1" w:styleId="iadne">
    <w:name w:val="Žiadne"/>
    <w:rsid w:val="00A1602B"/>
  </w:style>
  <w:style w:type="paragraph" w:styleId="Revision">
    <w:name w:val="Revision"/>
    <w:hidden/>
    <w:uiPriority w:val="99"/>
    <w:semiHidden/>
    <w:rsid w:val="00A1602B"/>
    <w:pPr>
      <w:spacing w:after="0" w:line="240" w:lineRule="auto"/>
    </w:pPr>
    <w:rPr>
      <w:rFonts w:ascii="Times New Roman" w:eastAsia="Times New Roman" w:hAnsi="Times New Roman" w:cs="Times New Roman"/>
      <w:sz w:val="24"/>
      <w:szCs w:val="24"/>
      <w:lang w:eastAsia="sk-SK"/>
    </w:rPr>
  </w:style>
  <w:style w:type="paragraph" w:customStyle="1" w:styleId="BasicParagraph">
    <w:name w:val="[Basic Paragraph]"/>
    <w:basedOn w:val="Normal"/>
    <w:uiPriority w:val="99"/>
    <w:rsid w:val="00A1602B"/>
    <w:pPr>
      <w:autoSpaceDE w:val="0"/>
      <w:autoSpaceDN w:val="0"/>
      <w:adjustRightInd w:val="0"/>
      <w:spacing w:line="288" w:lineRule="auto"/>
      <w:textAlignment w:val="center"/>
    </w:pPr>
    <w:rPr>
      <w:rFonts w:ascii="Minion Pro" w:eastAsia="Calibri" w:hAnsi="Minion Pro" w:cs="Minion Pro"/>
      <w:noProof w:val="0"/>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2446-6881-409E-9185-B938534E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11516</Words>
  <Characters>65644</Characters>
  <Application>Microsoft Office Word</Application>
  <DocSecurity>0</DocSecurity>
  <Lines>547</Lines>
  <Paragraphs>154</Paragraphs>
  <ScaleCrop>false</ScaleCrop>
  <Company/>
  <LinksUpToDate>false</LinksUpToDate>
  <CharactersWithSpaces>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Pašteková Jarmila</dc:creator>
  <cp:keywords/>
  <dc:description/>
  <cp:lastModifiedBy>Pašteková Jarmila</cp:lastModifiedBy>
  <cp:revision>3</cp:revision>
  <dcterms:created xsi:type="dcterms:W3CDTF">2020-07-29T07:24:00Z</dcterms:created>
  <dcterms:modified xsi:type="dcterms:W3CDTF">2020-07-29T11:18:00Z</dcterms:modified>
</cp:coreProperties>
</file>