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6D0ACB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E4386B">
        <w:rPr>
          <w:rFonts w:ascii="Calibri" w:eastAsia="Arial" w:hAnsi="Calibri" w:cs="Calibri"/>
          <w:lang w:val="sk" w:eastAsia="sk"/>
        </w:rPr>
        <w:t>400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4043EF10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757342" w:rsidRPr="00801671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https://josephine.proebiz.com/sk/tender/8280/summary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1911F643" w14:textId="77777777" w:rsidR="00757342" w:rsidRDefault="007F7679" w:rsidP="00757342">
      <w:pPr>
        <w:spacing w:after="0"/>
        <w:ind w:left="567"/>
        <w:jc w:val="both"/>
        <w:rPr>
          <w:rFonts w:cstheme="minorHAnsi"/>
          <w:b/>
          <w:bCs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757342" w:rsidRPr="00757342">
        <w:rPr>
          <w:rFonts w:cstheme="minorHAnsi"/>
          <w:b/>
          <w:bCs/>
        </w:rPr>
        <w:t xml:space="preserve">Profylaktika, servis, oprava údržba, náhradné diely a nastavenie riadiaceho systému </w:t>
      </w:r>
    </w:p>
    <w:p w14:paraId="24E47AFD" w14:textId="612128ED" w:rsidR="00AA55B6" w:rsidRPr="00063F3D" w:rsidRDefault="00757342" w:rsidP="00757342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>
        <w:rPr>
          <w:rFonts w:cstheme="minorHAnsi"/>
          <w:b/>
          <w:bCs/>
        </w:rPr>
        <w:t xml:space="preserve">  </w:t>
      </w:r>
      <w:r w:rsidRPr="00757342">
        <w:rPr>
          <w:rFonts w:cstheme="minorHAnsi"/>
          <w:b/>
          <w:bCs/>
        </w:rPr>
        <w:t>MITSUBISHI na CHÚV</w:t>
      </w:r>
      <w:r w:rsidR="00AA55B6" w:rsidRPr="00063F3D">
        <w:rPr>
          <w:rFonts w:cstheme="minorHAnsi"/>
          <w:b/>
          <w:bCs/>
        </w:rPr>
        <w:t>“</w:t>
      </w:r>
      <w:r w:rsidR="00AA55B6" w:rsidRPr="00063F3D">
        <w:rPr>
          <w:rFonts w:cstheme="minorHAnsi"/>
        </w:rPr>
        <w:t>.</w:t>
      </w:r>
    </w:p>
    <w:p w14:paraId="4C0C3595" w14:textId="2EE4D06F" w:rsidR="0057058A" w:rsidRDefault="001E604B" w:rsidP="00C247A8">
      <w:pPr>
        <w:spacing w:after="0" w:line="259" w:lineRule="auto"/>
        <w:ind w:left="709" w:hanging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C247A8" w:rsidRPr="00B315A5">
        <w:t>50532000-3 Opravy a údržba elektrických strojov, prístrojov a súvisiaceho vybavenia,</w:t>
      </w:r>
      <w:r w:rsidR="00C247A8">
        <w:t xml:space="preserve"> </w:t>
      </w:r>
      <w:r w:rsidR="00C247A8" w:rsidRPr="00B315A5">
        <w:t>50532400-</w:t>
      </w:r>
      <w:r w:rsidR="00C247A8">
        <w:t xml:space="preserve">    </w:t>
      </w:r>
      <w:r w:rsidR="00C247A8" w:rsidRPr="00B315A5">
        <w:t>7 Opravy a údržba zariadení na rozvod elektrickej energie</w:t>
      </w:r>
      <w:r w:rsidR="00C247A8">
        <w:t xml:space="preserve">, </w:t>
      </w:r>
      <w:r w:rsidR="00C247A8" w:rsidRPr="00B315A5">
        <w:t>32540000-0 Rozvádzače, 32541000-7 Zariadenie rozvádzača, 31213000-2 Rozvodné zariadenia, 31213400-6 Rozvodné systémy, 31230000-7 Časti rozvodu elektriny alebo regulačných prístrojov,</w:t>
      </w:r>
      <w:r w:rsidR="00C247A8">
        <w:t xml:space="preserve"> </w:t>
      </w:r>
      <w:r w:rsidR="00C247A8" w:rsidRPr="00B315A5">
        <w:t>71632000-7 Technické skúšky,</w:t>
      </w:r>
      <w:r w:rsidR="00C247A8">
        <w:t xml:space="preserve"> </w:t>
      </w:r>
      <w:r w:rsidR="00C247A8" w:rsidRPr="00B315A5">
        <w:t>72611000-6 Technické počítačové podporné služby,</w:t>
      </w:r>
      <w:r w:rsidR="00C247A8">
        <w:t xml:space="preserve"> </w:t>
      </w:r>
      <w:r w:rsidR="00C247A8" w:rsidRPr="00B315A5">
        <w:t>60000000-8 Dopravné služby (bez prepravy odpadu),</w:t>
      </w:r>
      <w:r w:rsidR="00C247A8">
        <w:t xml:space="preserve"> </w:t>
      </w:r>
      <w:r w:rsidR="00C247A8" w:rsidRPr="00B315A5">
        <w:t>90513000-6 Služby na spracovanie a likvidáciu nie nebezpečného odpadu</w:t>
      </w:r>
      <w:r w:rsidR="00E2477F">
        <w:rPr>
          <w:rFonts w:ascii="Calibri" w:eastAsia="Arial" w:hAnsi="Calibri" w:cs="Calibri"/>
          <w:bCs/>
          <w:lang w:eastAsia="sk"/>
        </w:rPr>
        <w:t>.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6B555BC1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304B879" w14:textId="450AF3F6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      </w:t>
      </w:r>
    </w:p>
    <w:p w14:paraId="6B53FF74" w14:textId="3CEBCD6A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               </w:t>
      </w:r>
      <w:r w:rsidR="007F7679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05727035" w:rsidR="0065567A" w:rsidRPr="00063F3D" w:rsidRDefault="00895E51" w:rsidP="00D123EA">
      <w:pPr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6F478E" w:rsidRPr="006F478E">
        <w:rPr>
          <w:rFonts w:cstheme="minorHAnsi"/>
          <w:color w:val="333333"/>
          <w:shd w:val="clear" w:color="auto" w:fill="FFFFFF"/>
        </w:rPr>
        <w:t>Vykonanie profylaktiky, servisu, opráv, údržbe, nastaveniu, operatívnych servisných zásahov a dodávke náhradných dielov pre riadiaci systém MITSUBISHI na CHÚV</w:t>
      </w:r>
      <w:r w:rsidRPr="00063F3D">
        <w:rPr>
          <w:rFonts w:cstheme="minorHAnsi"/>
          <w:color w:val="333333"/>
          <w:shd w:val="clear" w:color="auto" w:fill="FFFFFF"/>
        </w:rPr>
        <w:t>,.</w:t>
      </w: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5A84CCA1" w:rsidR="00C535B8" w:rsidRPr="00F75109" w:rsidRDefault="007A0ADF" w:rsidP="00F75109">
      <w:pPr>
        <w:widowControl w:val="0"/>
        <w:tabs>
          <w:tab w:val="left" w:pos="709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F75109">
        <w:rPr>
          <w:rFonts w:ascii="Calibri" w:eastAsia="Arial" w:hAnsi="Calibri" w:cs="Calibri"/>
          <w:lang w:eastAsia="sk"/>
        </w:rPr>
        <w:t xml:space="preserve"> </w:t>
      </w:r>
      <w:r w:rsidRPr="007A0ADF">
        <w:rPr>
          <w:rFonts w:cstheme="minorHAnsi"/>
          <w:bCs/>
        </w:rPr>
        <w:t xml:space="preserve">49 271,75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3DEA360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>na 24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288564BC" w14:textId="1DE7F389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Úspešný uchádzač </w:t>
      </w:r>
      <w:r w:rsidR="00D35AC9">
        <w:rPr>
          <w:rFonts w:cstheme="minorHAnsi"/>
        </w:rPr>
        <w:t>predloží k termínu podpisu zmluvy nasledujúce oprávnenia:</w:t>
      </w:r>
    </w:p>
    <w:p w14:paraId="7986904B" w14:textId="6DA31D05" w:rsidR="006531AC" w:rsidRPr="001B16ED" w:rsidRDefault="006531AC" w:rsidP="001B16E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before="240" w:after="0" w:line="259" w:lineRule="auto"/>
        <w:ind w:left="709" w:hanging="283"/>
        <w:rPr>
          <w:rFonts w:cstheme="minorHAnsi"/>
        </w:rPr>
      </w:pPr>
      <w:r w:rsidRPr="001B16ED">
        <w:rPr>
          <w:rFonts w:cstheme="minorHAnsi"/>
        </w:rPr>
        <w:t xml:space="preserve">minimálne  jeden pracovník s osvedčením podľa § 23 </w:t>
      </w:r>
      <w:r w:rsidRPr="001B16ED">
        <w:rPr>
          <w:rFonts w:cstheme="minorHAnsi"/>
          <w:color w:val="231F20"/>
        </w:rPr>
        <w:t xml:space="preserve">Elektrotechnik na riadenie činnosti a </w:t>
      </w:r>
      <w:r w:rsidR="001B16ED">
        <w:rPr>
          <w:rFonts w:cstheme="minorHAnsi"/>
          <w:color w:val="231F20"/>
        </w:rPr>
        <w:t xml:space="preserve">    </w:t>
      </w:r>
      <w:r w:rsidRPr="001B16ED">
        <w:rPr>
          <w:rFonts w:cstheme="minorHAnsi"/>
          <w:color w:val="231F20"/>
        </w:rPr>
        <w:t>riadenie prevádzky</w:t>
      </w:r>
      <w:r w:rsidRPr="001B16ED">
        <w:rPr>
          <w:rFonts w:cstheme="minorHAnsi"/>
        </w:rPr>
        <w:t xml:space="preserve">   podľa vyhlášky č. 508/2009 </w:t>
      </w:r>
      <w:proofErr w:type="spellStart"/>
      <w:r w:rsidRPr="001B16ED">
        <w:rPr>
          <w:rFonts w:cstheme="minorHAnsi"/>
        </w:rPr>
        <w:t>Z.z</w:t>
      </w:r>
      <w:proofErr w:type="spellEnd"/>
      <w:r w:rsidRPr="001B16ED">
        <w:rPr>
          <w:rFonts w:cstheme="minorHAnsi"/>
        </w:rPr>
        <w:t xml:space="preserve">.  </w:t>
      </w:r>
    </w:p>
    <w:p w14:paraId="3A5A8DF9" w14:textId="77777777" w:rsidR="006531AC" w:rsidRPr="009C7CD5" w:rsidRDefault="006531AC" w:rsidP="001B16ED">
      <w:pPr>
        <w:pStyle w:val="Odsekzoznamu"/>
        <w:numPr>
          <w:ilvl w:val="0"/>
          <w:numId w:val="18"/>
        </w:numPr>
        <w:spacing w:after="0" w:line="259" w:lineRule="auto"/>
        <w:ind w:hanging="294"/>
        <w:rPr>
          <w:rFonts w:cstheme="minorHAnsi"/>
          <w:b/>
          <w:bCs/>
        </w:rPr>
      </w:pPr>
      <w:r w:rsidRPr="009C7CD5">
        <w:rPr>
          <w:rFonts w:cstheme="minorHAnsi"/>
        </w:rPr>
        <w:t xml:space="preserve">Certifikát Mitsubishi Electric </w:t>
      </w:r>
      <w:proofErr w:type="spellStart"/>
      <w:r w:rsidRPr="009C7CD5">
        <w:rPr>
          <w:rFonts w:cstheme="minorHAnsi"/>
        </w:rPr>
        <w:t>Europe</w:t>
      </w:r>
      <w:proofErr w:type="spellEnd"/>
      <w:r w:rsidRPr="009C7CD5">
        <w:rPr>
          <w:rFonts w:cstheme="minorHAnsi"/>
        </w:rPr>
        <w:t xml:space="preserve"> B.V. – školenie programovacích riadiacich systémov Mitsubishi rad FX,L,Q</w:t>
      </w: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735281E2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9C7CD5">
        <w:rPr>
          <w:rFonts w:cstheme="minorHAnsi"/>
          <w:b/>
          <w:bCs/>
        </w:rPr>
        <w:t>3</w:t>
      </w:r>
      <w:r w:rsidR="00895E51" w:rsidRPr="00E87E81">
        <w:rPr>
          <w:rFonts w:cstheme="minorHAnsi"/>
          <w:b/>
          <w:bCs/>
        </w:rPr>
        <w:t>.</w:t>
      </w:r>
      <w:r w:rsidR="009C7CD5">
        <w:rPr>
          <w:rFonts w:cstheme="minorHAnsi"/>
          <w:b/>
          <w:bCs/>
        </w:rPr>
        <w:t>8</w:t>
      </w:r>
      <w:r w:rsidR="00895E51" w:rsidRPr="00E87E81">
        <w:rPr>
          <w:rFonts w:cstheme="minorHAnsi"/>
          <w:b/>
          <w:bCs/>
        </w:rPr>
        <w:t>.</w:t>
      </w:r>
      <w:r w:rsidR="00D36D7D">
        <w:rPr>
          <w:rFonts w:cstheme="minorHAnsi"/>
          <w:b/>
          <w:bCs/>
        </w:rPr>
        <w:t>-</w:t>
      </w:r>
      <w:r w:rsidR="009C7CD5">
        <w:rPr>
          <w:rFonts w:cstheme="minorHAnsi"/>
          <w:b/>
          <w:bCs/>
        </w:rPr>
        <w:t>7</w:t>
      </w:r>
      <w:r w:rsidR="00D36D7D">
        <w:rPr>
          <w:rFonts w:cstheme="minorHAnsi"/>
          <w:b/>
          <w:bCs/>
        </w:rPr>
        <w:t>.</w:t>
      </w:r>
      <w:r w:rsidR="006D2C97">
        <w:rPr>
          <w:rFonts w:cstheme="minorHAnsi"/>
          <w:b/>
          <w:bCs/>
        </w:rPr>
        <w:t>8</w:t>
      </w:r>
      <w:r w:rsidR="00D36D7D">
        <w:rPr>
          <w:rFonts w:cstheme="minorHAnsi"/>
          <w:b/>
          <w:bCs/>
        </w:rPr>
        <w:t>.</w:t>
      </w:r>
      <w:r w:rsidR="00895E51" w:rsidRPr="00E87E81">
        <w:rPr>
          <w:rFonts w:cstheme="minorHAnsi"/>
          <w:b/>
          <w:bCs/>
        </w:rPr>
        <w:t xml:space="preserve"> 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617FF5B4" w:rsidR="00F05AD0" w:rsidRPr="00E87E81" w:rsidRDefault="00840EE0" w:rsidP="00840EE0">
      <w:pPr>
        <w:autoSpaceDE w:val="0"/>
        <w:autoSpaceDN w:val="0"/>
        <w:rPr>
          <w:rFonts w:cstheme="minorHAnsi"/>
          <w:color w:val="404040"/>
        </w:rPr>
      </w:pPr>
      <w:r>
        <w:rPr>
          <w:rFonts w:cstheme="minorHAnsi"/>
          <w:b/>
          <w:bCs/>
          <w:lang w:eastAsia="sk-SK"/>
        </w:rPr>
        <w:t xml:space="preserve">       </w:t>
      </w:r>
      <w:r w:rsidR="00C01048">
        <w:rPr>
          <w:rFonts w:cstheme="minorHAnsi"/>
          <w:b/>
          <w:bCs/>
          <w:lang w:eastAsia="sk-SK"/>
        </w:rPr>
        <w:t xml:space="preserve"> </w:t>
      </w:r>
      <w:r w:rsidR="00BE33ED" w:rsidRPr="00840EE0">
        <w:rPr>
          <w:rFonts w:cstheme="minorHAnsi"/>
          <w:lang w:eastAsia="sk-SK"/>
        </w:rPr>
        <w:t>Miroslav Jurta</w:t>
      </w:r>
      <w:r w:rsidR="00F05AD0" w:rsidRPr="00840EE0">
        <w:rPr>
          <w:rFonts w:cstheme="minorHAnsi"/>
          <w:color w:val="404040"/>
        </w:rPr>
        <w:t>,</w:t>
      </w:r>
      <w:r w:rsidR="00477F98" w:rsidRPr="00E87E81">
        <w:rPr>
          <w:rFonts w:cstheme="minorHAnsi"/>
          <w:b/>
          <w:bCs/>
          <w:color w:val="404040"/>
        </w:rPr>
        <w:t xml:space="preserve"> </w:t>
      </w:r>
      <w:r w:rsidR="00E87E81" w:rsidRPr="00E87E81">
        <w:rPr>
          <w:rFonts w:cstheme="minorHAnsi"/>
          <w:color w:val="404040"/>
        </w:rPr>
        <w:t xml:space="preserve"> </w:t>
      </w:r>
      <w:r w:rsidR="00E87E81">
        <w:rPr>
          <w:rFonts w:cstheme="minorHAnsi"/>
          <w:color w:val="404040"/>
        </w:rPr>
        <w:t>T</w:t>
      </w:r>
      <w:r w:rsidR="00F05AD0" w:rsidRPr="00E87E81">
        <w:rPr>
          <w:rFonts w:cstheme="minorHAnsi"/>
          <w:color w:val="404040"/>
        </w:rPr>
        <w:t>el: +421/2/40 206</w:t>
      </w:r>
      <w:r w:rsidR="00E87E81">
        <w:rPr>
          <w:rFonts w:cstheme="minorHAnsi"/>
          <w:color w:val="404040"/>
        </w:rPr>
        <w:t> </w:t>
      </w:r>
      <w:r w:rsidR="00F05AD0" w:rsidRPr="00E87E81">
        <w:rPr>
          <w:rFonts w:cstheme="minorHAnsi"/>
          <w:color w:val="404040"/>
        </w:rPr>
        <w:t>01</w:t>
      </w:r>
      <w:r>
        <w:rPr>
          <w:rFonts w:cstheme="minorHAnsi"/>
          <w:color w:val="404040"/>
        </w:rPr>
        <w:t>8</w:t>
      </w:r>
      <w:r w:rsidR="00E87E81">
        <w:rPr>
          <w:rFonts w:cstheme="minorHAnsi"/>
          <w:color w:val="404040"/>
        </w:rPr>
        <w:t xml:space="preserve">,  </w:t>
      </w:r>
      <w:r w:rsidR="00F05AD0" w:rsidRPr="00E87E81">
        <w:rPr>
          <w:rFonts w:cstheme="minorHAnsi"/>
          <w:color w:val="404040"/>
        </w:rPr>
        <w:t>Mobil: +421/</w:t>
      </w:r>
      <w:r w:rsidR="00C01048" w:rsidRPr="00C01048">
        <w:rPr>
          <w:rFonts w:ascii="Arial" w:hAnsi="Arial" w:cs="Arial"/>
          <w:sz w:val="20"/>
          <w:szCs w:val="20"/>
          <w:lang w:eastAsia="sk-SK"/>
        </w:rPr>
        <w:t xml:space="preserve"> </w:t>
      </w:r>
      <w:r w:rsidR="00C01048" w:rsidRPr="00C01048">
        <w:rPr>
          <w:rFonts w:cstheme="minorHAnsi"/>
          <w:sz w:val="20"/>
          <w:szCs w:val="20"/>
          <w:lang w:eastAsia="sk-SK"/>
        </w:rPr>
        <w:t>918 110 521</w:t>
      </w:r>
      <w:r w:rsidR="00E87E81">
        <w:rPr>
          <w:rFonts w:cstheme="minorHAnsi"/>
          <w:color w:val="404040"/>
        </w:rPr>
        <w:t xml:space="preserve">, </w:t>
      </w:r>
      <w:r w:rsidR="00F05AD0" w:rsidRPr="00E87E81">
        <w:rPr>
          <w:rFonts w:cstheme="minorHAnsi"/>
          <w:color w:val="404040"/>
        </w:rPr>
        <w:t xml:space="preserve">e-mail: </w:t>
      </w:r>
      <w:hyperlink r:id="rId11" w:history="1">
        <w:r w:rsidR="00C01048" w:rsidRPr="00801671">
          <w:rPr>
            <w:rStyle w:val="Hypertextovprepojenie"/>
            <w:rFonts w:cstheme="minorHAnsi"/>
          </w:rPr>
          <w:t>jurta@olo.sk</w:t>
        </w:r>
      </w:hyperlink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106DD386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037B79">
        <w:rPr>
          <w:rFonts w:cstheme="minorHAnsi"/>
          <w:color w:val="000000" w:themeColor="text1"/>
          <w:lang w:eastAsia="sk"/>
        </w:rPr>
        <w:t>24 mesiacov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74EAA9F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A80D8C" w:rsidRPr="00801671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https://josephine.proebiz.com/sk/tender/8280/summary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7667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zásielky  obstarávateľ, tak záujemcovi, resp. uchádzačovi bude na ním určený </w:t>
      </w:r>
      <w:r w:rsidRPr="002B4AE9">
        <w:rPr>
          <w:rFonts w:ascii="Calibri" w:eastAsia="Arial" w:hAnsi="Calibri" w:cs="Calibri"/>
          <w:lang w:eastAsia="sk"/>
        </w:rPr>
        <w:lastRenderedPageBreak/>
        <w:t>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76672F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B47516C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0E3995">
        <w:rPr>
          <w:rFonts w:ascii="Calibri" w:eastAsia="Arial" w:hAnsi="Calibri" w:cs="Calibri"/>
          <w:lang w:eastAsia="sk"/>
        </w:rPr>
        <w:t>1</w:t>
      </w:r>
      <w:r w:rsidR="00A80D8C">
        <w:rPr>
          <w:rFonts w:ascii="Calibri" w:eastAsia="Arial" w:hAnsi="Calibri" w:cs="Calibri"/>
          <w:lang w:eastAsia="sk"/>
        </w:rPr>
        <w:t>2</w:t>
      </w:r>
      <w:r w:rsidR="00032EFA">
        <w:rPr>
          <w:rFonts w:ascii="Calibri" w:eastAsia="Arial" w:hAnsi="Calibri" w:cs="Calibri"/>
          <w:lang w:eastAsia="sk"/>
        </w:rPr>
        <w:t>.</w:t>
      </w:r>
      <w:r w:rsidR="000E3995">
        <w:rPr>
          <w:rFonts w:ascii="Calibri" w:eastAsia="Arial" w:hAnsi="Calibri" w:cs="Calibri"/>
          <w:lang w:eastAsia="sk"/>
        </w:rPr>
        <w:t>8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990923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08EC0287" w:rsidR="009B0997" w:rsidRDefault="0076672F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635072" w:rsidRPr="00801671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https://josephine.proebiz.com/sk/tender/8280/summary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6C7BA08" w14:textId="77777777" w:rsidR="007E1461" w:rsidRDefault="007E1461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lastRenderedPageBreak/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</w:t>
      </w:r>
      <w:proofErr w:type="spellStart"/>
      <w:r w:rsidR="00D71CAE">
        <w:rPr>
          <w:rFonts w:ascii="Calibri" w:eastAsia="Arial" w:hAnsi="Calibri" w:cs="Calibri"/>
          <w:b/>
          <w:bCs/>
          <w:u w:color="000000"/>
          <w:lang w:eastAsia="sk"/>
        </w:rPr>
        <w:t>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</w:t>
      </w:r>
      <w:proofErr w:type="spellEnd"/>
      <w:r w:rsidR="00297B91">
        <w:rPr>
          <w:rFonts w:ascii="Calibri" w:eastAsia="Arial" w:hAnsi="Calibri" w:cs="Calibri"/>
          <w:b/>
          <w:bCs/>
          <w:u w:color="000000"/>
          <w:lang w:eastAsia="sk"/>
        </w:rPr>
        <w:t xml:space="preserve">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21AFD324" w14:textId="18EA106D" w:rsidR="00C55209" w:rsidRDefault="00C55209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680D7728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9228C7">
        <w:rPr>
          <w:rFonts w:ascii="Calibri" w:eastAsia="Arial" w:hAnsi="Calibri" w:cs="Calibri"/>
          <w:lang w:val="sk" w:eastAsia="sk"/>
        </w:rPr>
        <w:t>2</w:t>
      </w:r>
      <w:r w:rsidR="00635072">
        <w:rPr>
          <w:rFonts w:ascii="Calibri" w:eastAsia="Arial" w:hAnsi="Calibri" w:cs="Calibri"/>
          <w:lang w:val="sk" w:eastAsia="sk"/>
        </w:rPr>
        <w:t>9</w:t>
      </w:r>
      <w:r w:rsidR="00772C10">
        <w:rPr>
          <w:rFonts w:ascii="Calibri" w:eastAsia="Arial" w:hAnsi="Calibri" w:cs="Calibri"/>
          <w:lang w:val="sk" w:eastAsia="sk"/>
        </w:rPr>
        <w:t>.</w:t>
      </w:r>
      <w:r w:rsidR="00A775E4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D9DF" w14:textId="77777777" w:rsidR="0076672F" w:rsidRDefault="0076672F" w:rsidP="00F14090">
      <w:pPr>
        <w:spacing w:after="0" w:line="240" w:lineRule="auto"/>
      </w:pPr>
      <w:r>
        <w:separator/>
      </w:r>
    </w:p>
  </w:endnote>
  <w:endnote w:type="continuationSeparator" w:id="0">
    <w:p w14:paraId="0CB8A28C" w14:textId="77777777" w:rsidR="0076672F" w:rsidRDefault="0076672F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E5E88" w14:textId="77777777" w:rsidR="0076672F" w:rsidRDefault="0076672F" w:rsidP="00F14090">
      <w:pPr>
        <w:spacing w:after="0" w:line="240" w:lineRule="auto"/>
      </w:pPr>
      <w:r>
        <w:separator/>
      </w:r>
    </w:p>
  </w:footnote>
  <w:footnote w:type="continuationSeparator" w:id="0">
    <w:p w14:paraId="64BEAB20" w14:textId="77777777" w:rsidR="0076672F" w:rsidRDefault="0076672F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76672F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769C"/>
    <w:rsid w:val="000B4653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E11A8"/>
    <w:rsid w:val="001E19D6"/>
    <w:rsid w:val="001E41EA"/>
    <w:rsid w:val="001E5169"/>
    <w:rsid w:val="001E604B"/>
    <w:rsid w:val="001F69CA"/>
    <w:rsid w:val="00203801"/>
    <w:rsid w:val="00213526"/>
    <w:rsid w:val="00213CBF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6456"/>
    <w:rsid w:val="004220F3"/>
    <w:rsid w:val="0042212F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56BC"/>
    <w:rsid w:val="005D78CE"/>
    <w:rsid w:val="005F03F6"/>
    <w:rsid w:val="006020B9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843B0"/>
    <w:rsid w:val="00687801"/>
    <w:rsid w:val="006A0B45"/>
    <w:rsid w:val="006A291B"/>
    <w:rsid w:val="006A45B5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6F478E"/>
    <w:rsid w:val="0070353B"/>
    <w:rsid w:val="007114D3"/>
    <w:rsid w:val="00713C01"/>
    <w:rsid w:val="0071407E"/>
    <w:rsid w:val="0071425C"/>
    <w:rsid w:val="007208CB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706C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21BEB"/>
    <w:rsid w:val="00C247A8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5DDC"/>
    <w:rsid w:val="00DC6B4F"/>
    <w:rsid w:val="00DD0FA9"/>
    <w:rsid w:val="00DD66B9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4356"/>
    <w:rsid w:val="00E64DD5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8280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8280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ta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8280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22</cp:revision>
  <cp:lastPrinted>2020-07-24T07:17:00Z</cp:lastPrinted>
  <dcterms:created xsi:type="dcterms:W3CDTF">2020-07-30T14:23:00Z</dcterms:created>
  <dcterms:modified xsi:type="dcterms:W3CDTF">2020-07-30T15:04:00Z</dcterms:modified>
</cp:coreProperties>
</file>