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C0D9" w14:textId="320E516A" w:rsidR="002F4E2C" w:rsidRPr="00C3100E" w:rsidRDefault="002F4E2C" w:rsidP="002F4E2C">
      <w:pPr>
        <w:spacing w:after="0" w:line="271" w:lineRule="auto"/>
        <w:ind w:left="886" w:right="866"/>
        <w:jc w:val="center"/>
        <w:rPr>
          <w:rFonts w:ascii="Arial" w:hAnsi="Arial" w:cs="Arial"/>
          <w:b/>
          <w:szCs w:val="24"/>
        </w:rPr>
      </w:pPr>
      <w:r w:rsidRPr="00C3100E">
        <w:rPr>
          <w:rFonts w:ascii="Arial" w:hAnsi="Arial" w:cs="Arial"/>
          <w:b/>
          <w:szCs w:val="24"/>
        </w:rPr>
        <w:t>P</w:t>
      </w:r>
      <w:r w:rsidR="00230B74">
        <w:rPr>
          <w:rFonts w:ascii="Arial" w:hAnsi="Arial" w:cs="Arial"/>
          <w:b/>
          <w:szCs w:val="24"/>
        </w:rPr>
        <w:t xml:space="preserve">ríloha č.1 Technická špecifikácia </w:t>
      </w:r>
    </w:p>
    <w:p w14:paraId="06AA84D2" w14:textId="77777777" w:rsidR="00091E06" w:rsidRPr="00F06A48" w:rsidRDefault="00091E06" w:rsidP="00091E06">
      <w:pPr>
        <w:spacing w:after="0" w:line="259" w:lineRule="auto"/>
        <w:ind w:left="19" w:right="0" w:firstLine="0"/>
        <w:jc w:val="left"/>
        <w:rPr>
          <w:szCs w:val="24"/>
        </w:rPr>
      </w:pPr>
      <w:r w:rsidRPr="00F06A48">
        <w:rPr>
          <w:szCs w:val="24"/>
        </w:rPr>
        <w:t xml:space="preserve"> </w:t>
      </w:r>
    </w:p>
    <w:p w14:paraId="60B15167" w14:textId="77777777" w:rsidR="00480C79" w:rsidRDefault="00480C79" w:rsidP="00091E06">
      <w:pPr>
        <w:spacing w:after="22" w:line="259" w:lineRule="auto"/>
        <w:ind w:left="19" w:right="0" w:firstLine="0"/>
        <w:jc w:val="left"/>
        <w:rPr>
          <w:szCs w:val="24"/>
        </w:rPr>
      </w:pPr>
    </w:p>
    <w:p w14:paraId="6BDF60A3" w14:textId="77777777" w:rsidR="00480C79" w:rsidRDefault="00480C79" w:rsidP="00091E06">
      <w:pPr>
        <w:spacing w:after="22" w:line="259" w:lineRule="auto"/>
        <w:ind w:left="19" w:right="0" w:firstLine="0"/>
        <w:jc w:val="left"/>
        <w:rPr>
          <w:szCs w:val="24"/>
        </w:rPr>
      </w:pPr>
    </w:p>
    <w:p w14:paraId="06AA84F8" w14:textId="18454E63" w:rsidR="00960DA4" w:rsidRDefault="00091E06" w:rsidP="00230B74">
      <w:pPr>
        <w:spacing w:after="22" w:line="259" w:lineRule="auto"/>
        <w:ind w:left="19" w:right="0" w:firstLine="0"/>
        <w:jc w:val="left"/>
        <w:rPr>
          <w:b/>
          <w:szCs w:val="24"/>
        </w:rPr>
      </w:pPr>
      <w:r w:rsidRPr="00F06A48">
        <w:rPr>
          <w:szCs w:val="24"/>
        </w:rPr>
        <w:t xml:space="preserve"> </w:t>
      </w:r>
    </w:p>
    <w:p w14:paraId="06AA84F9" w14:textId="77777777" w:rsidR="00091E06" w:rsidRPr="00F06A48" w:rsidRDefault="00091E06" w:rsidP="00091E06">
      <w:pPr>
        <w:ind w:left="29" w:right="0"/>
        <w:rPr>
          <w:b/>
          <w:szCs w:val="24"/>
        </w:rPr>
      </w:pPr>
      <w:r w:rsidRPr="00F06A48">
        <w:rPr>
          <w:b/>
          <w:szCs w:val="24"/>
        </w:rPr>
        <w:t xml:space="preserve">Stručný opis predmetu zákazky: </w:t>
      </w:r>
    </w:p>
    <w:tbl>
      <w:tblPr>
        <w:tblStyle w:val="TableGrid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215"/>
      </w:tblGrid>
      <w:tr w:rsidR="00091E06" w:rsidRPr="00F06A48" w14:paraId="06AA8523" w14:textId="77777777" w:rsidTr="00D322EF">
        <w:trPr>
          <w:trHeight w:val="11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4FB" w14:textId="7320FB52" w:rsidR="006A457C" w:rsidRDefault="006A457C" w:rsidP="00DB3B1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  <w:p w14:paraId="06AA84FC" w14:textId="0791FAC3" w:rsidR="00CF3C3B" w:rsidRDefault="00CF3C3B" w:rsidP="00230B7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152397" w:rsidRPr="00152397">
              <w:rPr>
                <w:szCs w:val="24"/>
              </w:rPr>
              <w:t>Odporúčan</w:t>
            </w:r>
            <w:r w:rsidR="00152397">
              <w:rPr>
                <w:szCs w:val="24"/>
              </w:rPr>
              <w:t>á</w:t>
            </w:r>
            <w:r w:rsidR="00152397" w:rsidRPr="00152397">
              <w:rPr>
                <w:szCs w:val="24"/>
              </w:rPr>
              <w:t xml:space="preserve"> výmen</w:t>
            </w:r>
            <w:r w:rsidR="00152397">
              <w:rPr>
                <w:szCs w:val="24"/>
              </w:rPr>
              <w:t>a</w:t>
            </w:r>
            <w:r w:rsidR="00152397" w:rsidRPr="00152397">
              <w:rPr>
                <w:szCs w:val="24"/>
              </w:rPr>
              <w:t xml:space="preserve"> generácií meničov frekvencie SIEMENS.</w:t>
            </w:r>
            <w:r>
              <w:rPr>
                <w:szCs w:val="24"/>
              </w:rPr>
              <w:t xml:space="preserve"> </w:t>
            </w:r>
            <w:r w:rsidR="00CE234F">
              <w:rPr>
                <w:szCs w:val="24"/>
              </w:rPr>
              <w:t>M</w:t>
            </w:r>
            <w:r w:rsidR="00CE234F" w:rsidRPr="00CE234F">
              <w:rPr>
                <w:szCs w:val="24"/>
              </w:rPr>
              <w:t>eniče Siemens Masterdrives skončili s výrobou 1. októbra 2010. Náhradné diely sú dostupné 10 rokov, čiže do roku 2020.</w:t>
            </w:r>
            <w:r w:rsidR="00CE234F">
              <w:rPr>
                <w:szCs w:val="24"/>
              </w:rPr>
              <w:t xml:space="preserve"> </w:t>
            </w:r>
            <w:r w:rsidR="00152397" w:rsidRPr="00152397">
              <w:rPr>
                <w:szCs w:val="24"/>
              </w:rPr>
              <w:t>Životnosť kondenzátorov v silovom DC medzi</w:t>
            </w:r>
            <w:r w:rsidR="00A93DC2">
              <w:rPr>
                <w:szCs w:val="24"/>
              </w:rPr>
              <w:t xml:space="preserve"> </w:t>
            </w:r>
            <w:r w:rsidR="00152397" w:rsidRPr="00152397">
              <w:rPr>
                <w:szCs w:val="24"/>
              </w:rPr>
              <w:t xml:space="preserve">obvode je dizajnovaná na 15 rokov. Podobne je to aj s optickými prijímačmi a vysielačmi používanými v meničoch pre veľký výkon. </w:t>
            </w:r>
            <w:r w:rsidR="004C5819">
              <w:rPr>
                <w:szCs w:val="24"/>
              </w:rPr>
              <w:t>G</w:t>
            </w:r>
            <w:r w:rsidR="00152397" w:rsidRPr="00152397">
              <w:rPr>
                <w:szCs w:val="24"/>
              </w:rPr>
              <w:t>eneračn</w:t>
            </w:r>
            <w:r w:rsidR="004C5819">
              <w:rPr>
                <w:szCs w:val="24"/>
              </w:rPr>
              <w:t>á</w:t>
            </w:r>
            <w:r w:rsidR="00152397" w:rsidRPr="00152397">
              <w:rPr>
                <w:szCs w:val="24"/>
              </w:rPr>
              <w:t xml:space="preserve"> výmen</w:t>
            </w:r>
            <w:r w:rsidR="004C5819">
              <w:rPr>
                <w:szCs w:val="24"/>
              </w:rPr>
              <w:t>a</w:t>
            </w:r>
            <w:r w:rsidR="00152397" w:rsidRPr="00152397">
              <w:rPr>
                <w:szCs w:val="24"/>
              </w:rPr>
              <w:t xml:space="preserve"> meničov. Nové meniče Sinamics sa osvedčili svojou spoľahlivosťou, ponúkajú nové funkcie (DCC, Safety Integrated), nové možnosti komunikácie (Profinet) a dobrú dostupnosť.</w:t>
            </w:r>
            <w:r w:rsidR="00F6056B">
              <w:rPr>
                <w:szCs w:val="24"/>
              </w:rPr>
              <w:t xml:space="preserve"> Obstarávateľ umožňuje dodávku aj ekvivalentu</w:t>
            </w:r>
            <w:r w:rsidR="005534C2">
              <w:rPr>
                <w:szCs w:val="24"/>
              </w:rPr>
              <w:t xml:space="preserve"> – vysvetlené nižšie</w:t>
            </w:r>
            <w:r w:rsidR="00F6056B">
              <w:rPr>
                <w:szCs w:val="24"/>
              </w:rPr>
              <w:t>.</w:t>
            </w:r>
          </w:p>
          <w:p w14:paraId="06AA84FD" w14:textId="77777777" w:rsidR="00C55601" w:rsidRDefault="00C55601" w:rsidP="001523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  <w:p w14:paraId="06AA8500" w14:textId="5D071749" w:rsid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A24ED">
              <w:rPr>
                <w:b/>
                <w:szCs w:val="24"/>
              </w:rPr>
              <w:t>FM Primárny vzduch</w:t>
            </w:r>
            <w:r>
              <w:rPr>
                <w:szCs w:val="24"/>
              </w:rPr>
              <w:t xml:space="preserve">: </w:t>
            </w:r>
            <w:r w:rsidRPr="00F544AC">
              <w:rPr>
                <w:szCs w:val="24"/>
              </w:rPr>
              <w:t>6SL3210-1PE32-5AL0</w:t>
            </w:r>
            <w:r w:rsidR="00F6056B">
              <w:rPr>
                <w:szCs w:val="24"/>
              </w:rPr>
              <w:t xml:space="preserve"> </w:t>
            </w:r>
            <w:r w:rsidR="0052116F">
              <w:rPr>
                <w:szCs w:val="24"/>
              </w:rPr>
              <w:t>alebo ekvivalent</w:t>
            </w:r>
            <w:r w:rsidRPr="00F544AC">
              <w:rPr>
                <w:szCs w:val="24"/>
              </w:rPr>
              <w:t xml:space="preserve"> </w:t>
            </w:r>
            <w:r w:rsidR="003A581E">
              <w:rPr>
                <w:szCs w:val="24"/>
              </w:rPr>
              <w:t xml:space="preserve">     2 ks</w:t>
            </w:r>
          </w:p>
          <w:p w14:paraId="06AA8501" w14:textId="77777777" w:rsidR="00F544AC" w:rsidRDefault="00F544AC" w:rsidP="00F544AC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szCs w:val="24"/>
              </w:rPr>
              <w:t>Technické parametre:</w:t>
            </w:r>
            <w:r>
              <w:t xml:space="preserve"> </w:t>
            </w:r>
          </w:p>
          <w:p w14:paraId="06AA8502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Vstupné napätie (offset)</w:t>
            </w:r>
            <w:r>
              <w:rPr>
                <w:szCs w:val="24"/>
              </w:rPr>
              <w:tab/>
              <w:t xml:space="preserve">380 V - </w:t>
            </w:r>
            <w:r w:rsidRPr="00F544AC">
              <w:rPr>
                <w:szCs w:val="24"/>
              </w:rPr>
              <w:t>480 V</w:t>
            </w:r>
          </w:p>
          <w:p w14:paraId="06AA8503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Výstupný výkon (max.)</w:t>
            </w:r>
            <w:r w:rsidRPr="00F544AC">
              <w:rPr>
                <w:szCs w:val="24"/>
              </w:rPr>
              <w:tab/>
              <w:t>110.0 kW</w:t>
            </w:r>
          </w:p>
          <w:p w14:paraId="06AA8504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Frekvencia (max.)</w:t>
            </w:r>
            <w:r w:rsidRPr="00F544AC">
              <w:rPr>
                <w:szCs w:val="24"/>
              </w:rPr>
              <w:tab/>
              <w:t>550 Hz</w:t>
            </w:r>
          </w:p>
          <w:p w14:paraId="06AA8505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Frekvencia (min.)</w:t>
            </w:r>
            <w:r w:rsidRPr="00F544AC">
              <w:rPr>
                <w:szCs w:val="24"/>
              </w:rPr>
              <w:tab/>
              <w:t>0 Hz</w:t>
            </w:r>
          </w:p>
          <w:p w14:paraId="06AA8506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Rozsah frekvencie</w:t>
            </w:r>
            <w:r w:rsidRPr="00F544AC">
              <w:rPr>
                <w:szCs w:val="24"/>
              </w:rPr>
              <w:tab/>
              <w:t>0 - 550 Hz</w:t>
            </w:r>
          </w:p>
          <w:p w14:paraId="06AA8507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Menovitý prúd</w:t>
            </w:r>
            <w:r w:rsidRPr="00F544AC">
              <w:rPr>
                <w:szCs w:val="24"/>
              </w:rPr>
              <w:tab/>
              <w:t>250 A</w:t>
            </w:r>
          </w:p>
          <w:p w14:paraId="06AA8508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Vonkajšia šírka</w:t>
            </w:r>
            <w:r w:rsidRPr="00F544AC">
              <w:rPr>
                <w:szCs w:val="24"/>
              </w:rPr>
              <w:tab/>
              <w:t>305 mm</w:t>
            </w:r>
          </w:p>
          <w:p w14:paraId="06AA8509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Vonkajšia výška</w:t>
            </w:r>
            <w:r w:rsidRPr="00F544AC">
              <w:rPr>
                <w:szCs w:val="24"/>
              </w:rPr>
              <w:tab/>
              <w:t>708 mm</w:t>
            </w:r>
          </w:p>
          <w:p w14:paraId="06AA850A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Rozmer, hĺbka</w:t>
            </w:r>
            <w:r w:rsidRPr="00F544AC">
              <w:rPr>
                <w:szCs w:val="24"/>
              </w:rPr>
              <w:tab/>
              <w:t>357 mm</w:t>
            </w:r>
          </w:p>
          <w:p w14:paraId="06AA850B" w14:textId="77777777" w:rsid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Spôsob ochrany</w:t>
            </w:r>
            <w:r w:rsidRPr="00F544AC">
              <w:rPr>
                <w:szCs w:val="24"/>
              </w:rPr>
              <w:tab/>
              <w:t>IP20</w:t>
            </w:r>
          </w:p>
          <w:p w14:paraId="06AA850C" w14:textId="52E38693" w:rsidR="00F544AC" w:rsidRDefault="00FA24ED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FM </w:t>
            </w:r>
            <w:r w:rsidR="00F544AC" w:rsidRPr="00F544AC">
              <w:rPr>
                <w:b/>
                <w:szCs w:val="24"/>
              </w:rPr>
              <w:t>Sekundárny vzduch</w:t>
            </w:r>
            <w:r w:rsidR="00F544AC">
              <w:rPr>
                <w:szCs w:val="24"/>
              </w:rPr>
              <w:t>: 6SL3210-1PE31</w:t>
            </w:r>
            <w:r w:rsidR="00F544AC" w:rsidRPr="00F544AC">
              <w:rPr>
                <w:szCs w:val="24"/>
              </w:rPr>
              <w:t>-5AL0</w:t>
            </w:r>
            <w:r w:rsidR="003A581E">
              <w:rPr>
                <w:szCs w:val="24"/>
              </w:rPr>
              <w:t xml:space="preserve"> </w:t>
            </w:r>
            <w:r w:rsidR="00C25783">
              <w:rPr>
                <w:szCs w:val="24"/>
              </w:rPr>
              <w:t>alebo ekvivalent</w:t>
            </w:r>
            <w:r w:rsidR="00C25783" w:rsidRPr="00F544AC">
              <w:rPr>
                <w:szCs w:val="24"/>
              </w:rPr>
              <w:t xml:space="preserve"> </w:t>
            </w:r>
            <w:r w:rsidR="00C25783">
              <w:rPr>
                <w:szCs w:val="24"/>
              </w:rPr>
              <w:t xml:space="preserve">     </w:t>
            </w:r>
            <w:r w:rsidR="003A581E">
              <w:rPr>
                <w:szCs w:val="24"/>
              </w:rPr>
              <w:t xml:space="preserve">     2 ks</w:t>
            </w:r>
          </w:p>
          <w:p w14:paraId="06AA850D" w14:textId="77777777" w:rsid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Technické parametre:</w:t>
            </w:r>
          </w:p>
          <w:p w14:paraId="06AA850E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Vstupné napätie (offset)</w:t>
            </w:r>
            <w:r>
              <w:rPr>
                <w:szCs w:val="24"/>
              </w:rPr>
              <w:tab/>
              <w:t xml:space="preserve">380 V - </w:t>
            </w:r>
            <w:r w:rsidRPr="00F544AC">
              <w:rPr>
                <w:szCs w:val="24"/>
              </w:rPr>
              <w:t>480 V</w:t>
            </w:r>
          </w:p>
          <w:p w14:paraId="06AA850F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Výstupný výkon (max.)</w:t>
            </w:r>
            <w:r w:rsidRPr="00F544AC">
              <w:rPr>
                <w:szCs w:val="24"/>
              </w:rPr>
              <w:tab/>
              <w:t>55.0 kW</w:t>
            </w:r>
          </w:p>
          <w:p w14:paraId="06AA8510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Frekvencia (min.)</w:t>
            </w:r>
            <w:r w:rsidRPr="00F544AC">
              <w:rPr>
                <w:szCs w:val="24"/>
              </w:rPr>
              <w:tab/>
              <w:t>0 Hz</w:t>
            </w:r>
          </w:p>
          <w:p w14:paraId="06AA8511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Frekvencia (max.)</w:t>
            </w:r>
            <w:r w:rsidRPr="00F544AC">
              <w:rPr>
                <w:szCs w:val="24"/>
              </w:rPr>
              <w:tab/>
              <w:t>550 Hz</w:t>
            </w:r>
          </w:p>
          <w:p w14:paraId="06AA8512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Rozsah frekvencie</w:t>
            </w:r>
            <w:r w:rsidRPr="00F544AC">
              <w:rPr>
                <w:szCs w:val="24"/>
              </w:rPr>
              <w:tab/>
              <w:t>0 - 550 Hz</w:t>
            </w:r>
          </w:p>
          <w:p w14:paraId="06AA8513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Menovitý prúd</w:t>
            </w:r>
            <w:r w:rsidRPr="00F544AC">
              <w:rPr>
                <w:szCs w:val="24"/>
              </w:rPr>
              <w:tab/>
              <w:t>145 A</w:t>
            </w:r>
          </w:p>
          <w:p w14:paraId="06AA8514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Vonkajšia výška</w:t>
            </w:r>
            <w:r w:rsidRPr="00F544AC">
              <w:rPr>
                <w:szCs w:val="24"/>
              </w:rPr>
              <w:tab/>
              <w:t>708 mm</w:t>
            </w:r>
          </w:p>
          <w:p w14:paraId="06AA8515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Vonkajšia šírka</w:t>
            </w:r>
            <w:r w:rsidRPr="00F544AC">
              <w:rPr>
                <w:szCs w:val="24"/>
              </w:rPr>
              <w:tab/>
              <w:t>305 mm</w:t>
            </w:r>
          </w:p>
          <w:p w14:paraId="06AA8516" w14:textId="77777777" w:rsidR="00F544AC" w:rsidRP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Rozmer, hĺbka</w:t>
            </w:r>
            <w:r w:rsidRPr="00F544AC">
              <w:rPr>
                <w:szCs w:val="24"/>
              </w:rPr>
              <w:tab/>
              <w:t>357 mm</w:t>
            </w:r>
          </w:p>
          <w:p w14:paraId="06AA8517" w14:textId="77777777" w:rsidR="00F544AC" w:rsidRDefault="00F544AC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544AC">
              <w:rPr>
                <w:szCs w:val="24"/>
              </w:rPr>
              <w:t>Spôsob ochrany</w:t>
            </w:r>
            <w:r w:rsidRPr="00F544AC">
              <w:rPr>
                <w:szCs w:val="24"/>
              </w:rPr>
              <w:tab/>
              <w:t>IP20</w:t>
            </w:r>
          </w:p>
          <w:p w14:paraId="06AA8518" w14:textId="7DAEA677" w:rsidR="0053080E" w:rsidRDefault="003A581E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Riadiaca a k</w:t>
            </w:r>
            <w:r w:rsidRPr="003A581E">
              <w:rPr>
                <w:b/>
                <w:szCs w:val="24"/>
              </w:rPr>
              <w:t>ontrolná jednotka</w:t>
            </w:r>
            <w:r>
              <w:rPr>
                <w:szCs w:val="24"/>
              </w:rPr>
              <w:t>:</w:t>
            </w:r>
            <w:r w:rsidRPr="003A581E">
              <w:rPr>
                <w:szCs w:val="24"/>
              </w:rPr>
              <w:t xml:space="preserve"> 6SL3246-0BA22-1FA0</w:t>
            </w:r>
            <w:r>
              <w:rPr>
                <w:szCs w:val="24"/>
              </w:rPr>
              <w:t xml:space="preserve">  </w:t>
            </w:r>
            <w:r w:rsidR="00C25783">
              <w:rPr>
                <w:szCs w:val="24"/>
              </w:rPr>
              <w:t>alebo ekvivalent</w:t>
            </w:r>
            <w:r w:rsidR="00C25783" w:rsidRPr="00F544AC">
              <w:rPr>
                <w:szCs w:val="24"/>
              </w:rPr>
              <w:t xml:space="preserve"> </w:t>
            </w:r>
            <w:r w:rsidR="00C25783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 4 ks</w:t>
            </w:r>
          </w:p>
          <w:p w14:paraId="06AA8519" w14:textId="77777777" w:rsidR="0053080E" w:rsidRPr="0053080E" w:rsidRDefault="0053080E" w:rsidP="0053080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3080E">
              <w:rPr>
                <w:szCs w:val="24"/>
              </w:rPr>
              <w:t>Technické parametre</w:t>
            </w:r>
            <w:r w:rsidR="003A581E">
              <w:rPr>
                <w:szCs w:val="24"/>
              </w:rPr>
              <w:t>:</w:t>
            </w:r>
          </w:p>
          <w:p w14:paraId="06AA851A" w14:textId="77777777" w:rsidR="003A581E" w:rsidRPr="003A581E" w:rsidRDefault="003A581E" w:rsidP="003A58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A581E">
              <w:rPr>
                <w:szCs w:val="24"/>
              </w:rPr>
              <w:t>Vonkajšia šírka</w:t>
            </w:r>
            <w:r w:rsidRPr="003A581E">
              <w:rPr>
                <w:szCs w:val="24"/>
              </w:rPr>
              <w:tab/>
            </w:r>
            <w:r>
              <w:rPr>
                <w:szCs w:val="24"/>
              </w:rPr>
              <w:t>73</w:t>
            </w:r>
            <w:r w:rsidRPr="003A581E">
              <w:rPr>
                <w:szCs w:val="24"/>
              </w:rPr>
              <w:t xml:space="preserve"> mm</w:t>
            </w:r>
          </w:p>
          <w:p w14:paraId="06AA851B" w14:textId="77777777" w:rsidR="003A581E" w:rsidRPr="003A581E" w:rsidRDefault="003A581E" w:rsidP="003A58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A581E">
              <w:rPr>
                <w:szCs w:val="24"/>
              </w:rPr>
              <w:t>Vonkajšia výška</w:t>
            </w:r>
            <w:r w:rsidRPr="003A581E">
              <w:rPr>
                <w:szCs w:val="24"/>
              </w:rPr>
              <w:tab/>
            </w:r>
            <w:r>
              <w:rPr>
                <w:szCs w:val="24"/>
              </w:rPr>
              <w:t>199</w:t>
            </w:r>
            <w:r w:rsidRPr="003A581E">
              <w:rPr>
                <w:szCs w:val="24"/>
              </w:rPr>
              <w:t xml:space="preserve"> mm</w:t>
            </w:r>
          </w:p>
          <w:p w14:paraId="06AA851C" w14:textId="77777777" w:rsidR="003A581E" w:rsidRDefault="003A581E" w:rsidP="003A58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A581E">
              <w:rPr>
                <w:szCs w:val="24"/>
              </w:rPr>
              <w:t>Rozmer, hĺbka</w:t>
            </w:r>
            <w:r w:rsidRPr="003A581E">
              <w:rPr>
                <w:szCs w:val="24"/>
              </w:rPr>
              <w:tab/>
            </w:r>
            <w:r>
              <w:rPr>
                <w:szCs w:val="24"/>
              </w:rPr>
              <w:t>67</w:t>
            </w:r>
            <w:r w:rsidRPr="003A581E">
              <w:rPr>
                <w:szCs w:val="24"/>
              </w:rPr>
              <w:t xml:space="preserve"> mm</w:t>
            </w:r>
          </w:p>
          <w:p w14:paraId="06AA851D" w14:textId="3035271B" w:rsidR="00EE3F5B" w:rsidRDefault="00EE3F5B" w:rsidP="00EE3F5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EE3F5B">
              <w:rPr>
                <w:b/>
                <w:szCs w:val="24"/>
              </w:rPr>
              <w:t>Montážna súprava dverí</w:t>
            </w:r>
            <w:r>
              <w:rPr>
                <w:szCs w:val="24"/>
              </w:rPr>
              <w:t xml:space="preserve">: </w:t>
            </w:r>
            <w:r w:rsidRPr="00EE3F5B">
              <w:rPr>
                <w:szCs w:val="24"/>
              </w:rPr>
              <w:t xml:space="preserve">6SL3256-0AP00-0JA0 </w:t>
            </w:r>
            <w:r>
              <w:rPr>
                <w:szCs w:val="24"/>
              </w:rPr>
              <w:t xml:space="preserve">  </w:t>
            </w:r>
            <w:r w:rsidR="00C25783">
              <w:rPr>
                <w:szCs w:val="24"/>
              </w:rPr>
              <w:t>alebo ekvivalent</w:t>
            </w:r>
            <w:r w:rsidR="00C25783" w:rsidRPr="00F544AC">
              <w:rPr>
                <w:szCs w:val="24"/>
              </w:rPr>
              <w:t xml:space="preserve"> </w:t>
            </w:r>
            <w:r w:rsidR="00C25783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   4ks</w:t>
            </w:r>
          </w:p>
          <w:p w14:paraId="06AA851E" w14:textId="77777777" w:rsidR="00EE3F5B" w:rsidRDefault="00EE3F5B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EE3F5B">
              <w:rPr>
                <w:szCs w:val="24"/>
              </w:rPr>
              <w:t xml:space="preserve"> G120 dverová montážna súprava IP55 / UL typ 12 pre inteligentný ovládací panel IOP (IP54), IOP-2 (IP55) a základný ovládací panel BOP-2 (IP55); obsahuje príslušenstvo na upevnenie tesnenia a prepojovací kábel (5 m) </w:t>
            </w:r>
          </w:p>
          <w:p w14:paraId="06AA851F" w14:textId="022A04AA" w:rsidR="002B27D4" w:rsidRDefault="0053080E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3080E">
              <w:rPr>
                <w:b/>
                <w:szCs w:val="24"/>
              </w:rPr>
              <w:t>IOP panel na dvere</w:t>
            </w:r>
            <w:r w:rsidR="002B27D4">
              <w:rPr>
                <w:b/>
                <w:szCs w:val="24"/>
              </w:rPr>
              <w:t>:</w:t>
            </w:r>
            <w:r w:rsidR="002B27D4">
              <w:t xml:space="preserve"> </w:t>
            </w:r>
            <w:r w:rsidR="002B27D4" w:rsidRPr="002B27D4">
              <w:rPr>
                <w:szCs w:val="24"/>
              </w:rPr>
              <w:t>6SL3255-0AA00-4JA2</w:t>
            </w:r>
            <w:r w:rsidR="002B27D4">
              <w:rPr>
                <w:szCs w:val="24"/>
              </w:rPr>
              <w:t xml:space="preserve"> </w:t>
            </w:r>
            <w:r w:rsidR="00C25783">
              <w:rPr>
                <w:szCs w:val="24"/>
              </w:rPr>
              <w:t>alebo ekvivalent</w:t>
            </w:r>
            <w:r w:rsidR="00C25783" w:rsidRPr="00F544AC">
              <w:rPr>
                <w:szCs w:val="24"/>
              </w:rPr>
              <w:t xml:space="preserve"> </w:t>
            </w:r>
            <w:r w:rsidR="00C25783">
              <w:rPr>
                <w:szCs w:val="24"/>
              </w:rPr>
              <w:t xml:space="preserve">     </w:t>
            </w:r>
            <w:r w:rsidR="002B27D4">
              <w:rPr>
                <w:szCs w:val="24"/>
              </w:rPr>
              <w:t xml:space="preserve">       4ks</w:t>
            </w:r>
          </w:p>
          <w:p w14:paraId="06AA8520" w14:textId="77777777" w:rsidR="00FA24ED" w:rsidRDefault="002B27D4" w:rsidP="00F544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B27D4">
              <w:rPr>
                <w:szCs w:val="24"/>
              </w:rPr>
              <w:lastRenderedPageBreak/>
              <w:t>G Inteligentný ovládací panel IOP-2 pre SINAMICS G120, G120P G110M, G110D, G120D, G120C ET 200PRO FC-2</w:t>
            </w:r>
            <w:r w:rsidR="0053080E">
              <w:rPr>
                <w:szCs w:val="24"/>
              </w:rPr>
              <w:t xml:space="preserve"> </w:t>
            </w:r>
          </w:p>
          <w:p w14:paraId="06AA8521" w14:textId="4F914222" w:rsidR="00091E06" w:rsidRDefault="00C25783" w:rsidP="00DF70E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V prípade ekvivalentného riešenia, toto musí byť</w:t>
            </w:r>
            <w:r w:rsidR="00C55601">
              <w:rPr>
                <w:szCs w:val="24"/>
              </w:rPr>
              <w:t xml:space="preserve"> je </w:t>
            </w:r>
            <w:r w:rsidR="00F24E6F">
              <w:rPr>
                <w:szCs w:val="24"/>
              </w:rPr>
              <w:t>rozmerovo a softvérovo kompatibiln</w:t>
            </w:r>
            <w:r>
              <w:rPr>
                <w:szCs w:val="24"/>
              </w:rPr>
              <w:t>é</w:t>
            </w:r>
            <w:r w:rsidR="00F24E6F">
              <w:rPr>
                <w:szCs w:val="24"/>
              </w:rPr>
              <w:t xml:space="preserve"> s pôvodnými meničmi a riadiacim systémom Teleperm</w:t>
            </w:r>
            <w:r w:rsidR="00DF70E8">
              <w:rPr>
                <w:szCs w:val="24"/>
              </w:rPr>
              <w:t>.</w:t>
            </w:r>
          </w:p>
          <w:p w14:paraId="06AA8522" w14:textId="77777777" w:rsidR="00DF70E8" w:rsidRPr="00F06A48" w:rsidRDefault="00DF70E8" w:rsidP="00DF70E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091E06" w:rsidRPr="00F06A48" w14:paraId="06AA853F" w14:textId="77777777" w:rsidTr="00960DA4">
        <w:trPr>
          <w:trHeight w:val="41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525" w14:textId="77777777" w:rsidR="001E071B" w:rsidRDefault="001E071B" w:rsidP="001E071B">
            <w:pPr>
              <w:ind w:left="123" w:firstLine="0"/>
            </w:pPr>
            <w:r>
              <w:rPr>
                <w:szCs w:val="24"/>
              </w:rPr>
              <w:lastRenderedPageBreak/>
              <w:t xml:space="preserve">Frekvenčné meniče riadia </w:t>
            </w:r>
            <w:r w:rsidRPr="00214D32">
              <w:rPr>
                <w:b/>
                <w:szCs w:val="24"/>
              </w:rPr>
              <w:t xml:space="preserve">motory </w:t>
            </w:r>
            <w:r>
              <w:rPr>
                <w:szCs w:val="24"/>
              </w:rPr>
              <w:t>primárneho a sekundárneho vzduchu na kotloch K1 a K2 s parametrami:</w:t>
            </w:r>
            <w:r>
              <w:t xml:space="preserve"> </w:t>
            </w:r>
          </w:p>
          <w:p w14:paraId="06AA8526" w14:textId="77777777" w:rsidR="001E071B" w:rsidRPr="001E071B" w:rsidRDefault="001E071B" w:rsidP="001E071B">
            <w:pPr>
              <w:ind w:left="123" w:firstLine="0"/>
              <w:rPr>
                <w:szCs w:val="24"/>
              </w:rPr>
            </w:pPr>
            <w:r>
              <w:rPr>
                <w:szCs w:val="24"/>
              </w:rPr>
              <w:t xml:space="preserve">Ventilátor primárneho vzduchu, </w:t>
            </w:r>
            <w:r w:rsidRPr="001E071B">
              <w:rPr>
                <w:szCs w:val="24"/>
              </w:rPr>
              <w:t>10HLB10AN001</w:t>
            </w:r>
            <w:r w:rsidR="00C55601">
              <w:rPr>
                <w:szCs w:val="24"/>
              </w:rPr>
              <w:t xml:space="preserve">, typ </w:t>
            </w:r>
            <w:r w:rsidRPr="001E071B">
              <w:rPr>
                <w:szCs w:val="24"/>
              </w:rPr>
              <w:t>1LA6288-4AA60-Z</w:t>
            </w:r>
            <w:r w:rsidRPr="001E071B">
              <w:rPr>
                <w:szCs w:val="24"/>
              </w:rPr>
              <w:tab/>
              <w:t>110</w:t>
            </w:r>
            <w:r>
              <w:rPr>
                <w:szCs w:val="24"/>
              </w:rPr>
              <w:t xml:space="preserve">kW </w:t>
            </w:r>
            <w:r w:rsidRPr="001E071B">
              <w:rPr>
                <w:szCs w:val="24"/>
              </w:rPr>
              <w:tab/>
              <w:t>400/690</w:t>
            </w:r>
            <w:r>
              <w:rPr>
                <w:szCs w:val="24"/>
              </w:rPr>
              <w:t>V</w:t>
            </w:r>
            <w:r w:rsidRPr="001E071B">
              <w:rPr>
                <w:szCs w:val="24"/>
              </w:rPr>
              <w:tab/>
              <w:t>194/112</w:t>
            </w:r>
            <w:r w:rsidR="00C55601">
              <w:rPr>
                <w:szCs w:val="24"/>
              </w:rPr>
              <w:t>A</w:t>
            </w:r>
            <w:r w:rsidRPr="001E071B">
              <w:rPr>
                <w:szCs w:val="24"/>
              </w:rPr>
              <w:tab/>
              <w:t>50</w:t>
            </w:r>
            <w:r w:rsidR="00C55601">
              <w:rPr>
                <w:szCs w:val="24"/>
              </w:rPr>
              <w:t>Hz</w:t>
            </w:r>
            <w:r w:rsidRPr="001E071B">
              <w:rPr>
                <w:szCs w:val="24"/>
              </w:rPr>
              <w:tab/>
              <w:t>1485</w:t>
            </w:r>
            <w:r w:rsidR="00C55601">
              <w:rPr>
                <w:szCs w:val="24"/>
              </w:rPr>
              <w:t>ot/min</w:t>
            </w:r>
            <w:r w:rsidRPr="001E071B">
              <w:rPr>
                <w:szCs w:val="24"/>
              </w:rPr>
              <w:tab/>
            </w:r>
            <w:r w:rsidR="00C55601">
              <w:rPr>
                <w:szCs w:val="24"/>
              </w:rPr>
              <w:t xml:space="preserve">cos Ø </w:t>
            </w:r>
            <w:r w:rsidRPr="001E071B">
              <w:rPr>
                <w:szCs w:val="24"/>
              </w:rPr>
              <w:t>0,86</w:t>
            </w:r>
            <w:r w:rsidR="00C55601">
              <w:rPr>
                <w:szCs w:val="24"/>
              </w:rPr>
              <w:t xml:space="preserve">   </w:t>
            </w:r>
            <w:r w:rsidR="00214D32">
              <w:rPr>
                <w:szCs w:val="24"/>
              </w:rPr>
              <w:t>1</w:t>
            </w:r>
            <w:r w:rsidR="00C55601">
              <w:rPr>
                <w:szCs w:val="24"/>
              </w:rPr>
              <w:t>ks</w:t>
            </w:r>
          </w:p>
          <w:p w14:paraId="06AA8527" w14:textId="77777777" w:rsidR="001E071B" w:rsidRDefault="001E071B" w:rsidP="001E071B">
            <w:pPr>
              <w:ind w:left="123" w:firstLine="0"/>
              <w:rPr>
                <w:szCs w:val="24"/>
              </w:rPr>
            </w:pPr>
            <w:r w:rsidRPr="001E071B">
              <w:rPr>
                <w:szCs w:val="24"/>
              </w:rPr>
              <w:t>Ventilátor sekundárneho vzduchu</w:t>
            </w:r>
            <w:r w:rsidRPr="001E071B">
              <w:rPr>
                <w:szCs w:val="24"/>
              </w:rPr>
              <w:tab/>
              <w:t>10HLB20AN001</w:t>
            </w:r>
            <w:r w:rsidRPr="001E071B">
              <w:rPr>
                <w:szCs w:val="24"/>
              </w:rPr>
              <w:tab/>
              <w:t>1LA6288-4AA60-Z</w:t>
            </w:r>
            <w:r w:rsidRPr="001E071B">
              <w:rPr>
                <w:szCs w:val="24"/>
              </w:rPr>
              <w:tab/>
              <w:t>55</w:t>
            </w:r>
            <w:r w:rsidRPr="001E071B">
              <w:rPr>
                <w:szCs w:val="24"/>
              </w:rPr>
              <w:tab/>
              <w:t>400</w:t>
            </w:r>
            <w:r w:rsidR="00C55601">
              <w:rPr>
                <w:szCs w:val="24"/>
              </w:rPr>
              <w:t>V</w:t>
            </w:r>
            <w:r w:rsidRPr="001E071B">
              <w:rPr>
                <w:szCs w:val="24"/>
              </w:rPr>
              <w:tab/>
              <w:t>97</w:t>
            </w:r>
            <w:r w:rsidR="00C55601">
              <w:rPr>
                <w:szCs w:val="24"/>
              </w:rPr>
              <w:t>A</w:t>
            </w:r>
            <w:r w:rsidRPr="001E071B">
              <w:rPr>
                <w:szCs w:val="24"/>
              </w:rPr>
              <w:tab/>
              <w:t>50</w:t>
            </w:r>
            <w:r w:rsidR="00C55601">
              <w:rPr>
                <w:szCs w:val="24"/>
              </w:rPr>
              <w:t>Hz</w:t>
            </w:r>
            <w:r w:rsidRPr="001E071B">
              <w:rPr>
                <w:szCs w:val="24"/>
              </w:rPr>
              <w:tab/>
              <w:t>1480</w:t>
            </w:r>
            <w:r w:rsidR="00C55601">
              <w:rPr>
                <w:szCs w:val="24"/>
              </w:rPr>
              <w:t>ot/min</w:t>
            </w:r>
            <w:r w:rsidRPr="001E071B">
              <w:rPr>
                <w:szCs w:val="24"/>
              </w:rPr>
              <w:tab/>
            </w:r>
            <w:r w:rsidR="00C55601">
              <w:rPr>
                <w:szCs w:val="24"/>
              </w:rPr>
              <w:t>cos</w:t>
            </w:r>
            <w:r w:rsidR="00C55601">
              <w:t xml:space="preserve"> </w:t>
            </w:r>
            <w:r w:rsidR="00C55601" w:rsidRPr="00C55601">
              <w:rPr>
                <w:szCs w:val="24"/>
              </w:rPr>
              <w:t>Ø</w:t>
            </w:r>
            <w:r w:rsidR="00C55601">
              <w:rPr>
                <w:szCs w:val="24"/>
              </w:rPr>
              <w:t xml:space="preserve"> </w:t>
            </w:r>
            <w:r w:rsidRPr="001E071B">
              <w:rPr>
                <w:szCs w:val="24"/>
              </w:rPr>
              <w:t>0,87</w:t>
            </w:r>
            <w:r w:rsidR="00C55601">
              <w:rPr>
                <w:szCs w:val="24"/>
              </w:rPr>
              <w:t xml:space="preserve">   </w:t>
            </w:r>
            <w:r w:rsidR="00214D32">
              <w:rPr>
                <w:szCs w:val="24"/>
              </w:rPr>
              <w:t>1</w:t>
            </w:r>
            <w:r w:rsidR="00C55601">
              <w:rPr>
                <w:szCs w:val="24"/>
              </w:rPr>
              <w:t xml:space="preserve"> ks</w:t>
            </w:r>
          </w:p>
          <w:p w14:paraId="06AA8528" w14:textId="77777777" w:rsidR="00214D32" w:rsidRPr="00214D32" w:rsidRDefault="00214D32" w:rsidP="00214D32">
            <w:pPr>
              <w:ind w:left="123" w:firstLine="0"/>
              <w:rPr>
                <w:szCs w:val="24"/>
              </w:rPr>
            </w:pPr>
            <w:r w:rsidRPr="00214D32">
              <w:rPr>
                <w:szCs w:val="24"/>
              </w:rPr>
              <w:t xml:space="preserve">Ventilátor primárneho vzduchu, </w:t>
            </w:r>
            <w:r>
              <w:rPr>
                <w:szCs w:val="24"/>
              </w:rPr>
              <w:t>2</w:t>
            </w:r>
            <w:r w:rsidRPr="00214D32">
              <w:rPr>
                <w:szCs w:val="24"/>
              </w:rPr>
              <w:t>0HLB10AN001, typ 1LA6288-4AA60-Z</w:t>
            </w:r>
            <w:r w:rsidRPr="00214D32">
              <w:rPr>
                <w:szCs w:val="24"/>
              </w:rPr>
              <w:tab/>
              <w:t xml:space="preserve">110kW </w:t>
            </w:r>
            <w:r w:rsidRPr="00214D32">
              <w:rPr>
                <w:szCs w:val="24"/>
              </w:rPr>
              <w:tab/>
              <w:t>400/690V</w:t>
            </w:r>
            <w:r w:rsidRPr="00214D32">
              <w:rPr>
                <w:szCs w:val="24"/>
              </w:rPr>
              <w:tab/>
              <w:t>194/112A</w:t>
            </w:r>
            <w:r w:rsidRPr="00214D32">
              <w:rPr>
                <w:szCs w:val="24"/>
              </w:rPr>
              <w:tab/>
              <w:t>50Hz</w:t>
            </w:r>
            <w:r w:rsidRPr="00214D32">
              <w:rPr>
                <w:szCs w:val="24"/>
              </w:rPr>
              <w:tab/>
              <w:t>1485ot/min</w:t>
            </w:r>
            <w:r w:rsidRPr="00214D32">
              <w:rPr>
                <w:szCs w:val="24"/>
              </w:rPr>
              <w:tab/>
              <w:t xml:space="preserve">cos Ø 0,86   </w:t>
            </w:r>
            <w:r>
              <w:rPr>
                <w:szCs w:val="24"/>
              </w:rPr>
              <w:t>1</w:t>
            </w:r>
            <w:r w:rsidRPr="00214D32">
              <w:rPr>
                <w:szCs w:val="24"/>
              </w:rPr>
              <w:t>ks</w:t>
            </w:r>
          </w:p>
          <w:p w14:paraId="06AA8529" w14:textId="77777777" w:rsidR="00214D32" w:rsidRDefault="00214D32" w:rsidP="00214D32">
            <w:pPr>
              <w:ind w:left="123" w:firstLine="0"/>
              <w:rPr>
                <w:szCs w:val="24"/>
              </w:rPr>
            </w:pPr>
            <w:r w:rsidRPr="00214D32">
              <w:rPr>
                <w:szCs w:val="24"/>
              </w:rPr>
              <w:t>V</w:t>
            </w:r>
            <w:r>
              <w:rPr>
                <w:szCs w:val="24"/>
              </w:rPr>
              <w:t>entilátor sekundárneho vzduchu</w:t>
            </w:r>
            <w:r>
              <w:rPr>
                <w:szCs w:val="24"/>
              </w:rPr>
              <w:tab/>
              <w:t>2</w:t>
            </w:r>
            <w:r w:rsidRPr="00214D32">
              <w:rPr>
                <w:szCs w:val="24"/>
              </w:rPr>
              <w:t>0HLB20AN001</w:t>
            </w:r>
            <w:r w:rsidRPr="00214D32">
              <w:rPr>
                <w:szCs w:val="24"/>
              </w:rPr>
              <w:tab/>
              <w:t>1LA6288-4AA60-Z</w:t>
            </w:r>
            <w:r w:rsidRPr="00214D32">
              <w:rPr>
                <w:szCs w:val="24"/>
              </w:rPr>
              <w:tab/>
              <w:t>55</w:t>
            </w:r>
            <w:r w:rsidRPr="00214D32">
              <w:rPr>
                <w:szCs w:val="24"/>
              </w:rPr>
              <w:tab/>
              <w:t>400V</w:t>
            </w:r>
            <w:r w:rsidRPr="00214D32">
              <w:rPr>
                <w:szCs w:val="24"/>
              </w:rPr>
              <w:tab/>
              <w:t>97A</w:t>
            </w:r>
            <w:r w:rsidRPr="00214D32">
              <w:rPr>
                <w:szCs w:val="24"/>
              </w:rPr>
              <w:tab/>
              <w:t>50Hz</w:t>
            </w:r>
            <w:r w:rsidRPr="00214D32">
              <w:rPr>
                <w:szCs w:val="24"/>
              </w:rPr>
              <w:tab/>
              <w:t>1480ot/min</w:t>
            </w:r>
            <w:r w:rsidRPr="00214D32">
              <w:rPr>
                <w:szCs w:val="24"/>
              </w:rPr>
              <w:tab/>
              <w:t xml:space="preserve">cos Ø 0,87   </w:t>
            </w:r>
            <w:r>
              <w:rPr>
                <w:szCs w:val="24"/>
              </w:rPr>
              <w:t>1</w:t>
            </w:r>
            <w:r w:rsidRPr="00214D32">
              <w:rPr>
                <w:szCs w:val="24"/>
              </w:rPr>
              <w:t xml:space="preserve"> ks</w:t>
            </w:r>
          </w:p>
          <w:p w14:paraId="06AA852A" w14:textId="77777777" w:rsidR="00C55601" w:rsidRPr="00B56EDE" w:rsidRDefault="00C55601" w:rsidP="001E071B">
            <w:pPr>
              <w:ind w:left="123" w:firstLine="0"/>
              <w:rPr>
                <w:szCs w:val="24"/>
              </w:rPr>
            </w:pPr>
          </w:p>
          <w:p w14:paraId="06AA852B" w14:textId="77777777" w:rsidR="00FB4E5F" w:rsidRPr="00425352" w:rsidRDefault="00FB4E5F" w:rsidP="00FB4E5F">
            <w:pPr>
              <w:pStyle w:val="Odsekzoznamu"/>
              <w:ind w:left="804" w:firstLine="0"/>
              <w:rPr>
                <w:b/>
                <w:bCs/>
                <w:szCs w:val="24"/>
              </w:rPr>
            </w:pPr>
            <w:r w:rsidRPr="00425352">
              <w:rPr>
                <w:b/>
                <w:bCs/>
                <w:szCs w:val="24"/>
              </w:rPr>
              <w:t xml:space="preserve">Predmet </w:t>
            </w:r>
            <w:r w:rsidR="00186A7C" w:rsidRPr="00425352">
              <w:rPr>
                <w:b/>
                <w:bCs/>
                <w:szCs w:val="24"/>
              </w:rPr>
              <w:t xml:space="preserve">a rozsah </w:t>
            </w:r>
            <w:r w:rsidRPr="00425352">
              <w:rPr>
                <w:b/>
                <w:bCs/>
                <w:szCs w:val="24"/>
              </w:rPr>
              <w:t>ponuky:</w:t>
            </w:r>
          </w:p>
          <w:p w14:paraId="06AA852C" w14:textId="77777777" w:rsidR="00C55601" w:rsidRPr="00FB4E5F" w:rsidRDefault="00C55601" w:rsidP="00FB4E5F">
            <w:pPr>
              <w:pStyle w:val="Odsekzoznamu"/>
              <w:ind w:left="804" w:firstLine="0"/>
              <w:rPr>
                <w:szCs w:val="24"/>
              </w:rPr>
            </w:pPr>
          </w:p>
          <w:p w14:paraId="06AA852D" w14:textId="77777777" w:rsidR="00FB4E5F" w:rsidRPr="00A93DC2" w:rsidRDefault="00FB4E5F" w:rsidP="00A93DC2">
            <w:pPr>
              <w:ind w:left="444" w:firstLine="0"/>
              <w:rPr>
                <w:szCs w:val="24"/>
              </w:rPr>
            </w:pPr>
            <w:r w:rsidRPr="00A93DC2">
              <w:rPr>
                <w:szCs w:val="24"/>
              </w:rPr>
              <w:t xml:space="preserve">1) </w:t>
            </w:r>
            <w:r w:rsidR="00186A7C">
              <w:rPr>
                <w:szCs w:val="24"/>
              </w:rPr>
              <w:t>Projekt, n</w:t>
            </w:r>
            <w:r w:rsidRPr="00A93DC2">
              <w:rPr>
                <w:szCs w:val="24"/>
              </w:rPr>
              <w:t xml:space="preserve">ávrh riešenia, </w:t>
            </w:r>
            <w:r w:rsidR="002B27D4">
              <w:rPr>
                <w:szCs w:val="24"/>
              </w:rPr>
              <w:t xml:space="preserve">výkresová dokumentácia, </w:t>
            </w:r>
            <w:r w:rsidRPr="00A93DC2">
              <w:rPr>
                <w:szCs w:val="24"/>
              </w:rPr>
              <w:t>zakreslenie upravených stránok s pohonmi do schémy a dodanie v pdf formáte</w:t>
            </w:r>
          </w:p>
          <w:p w14:paraId="06AA852E" w14:textId="77777777" w:rsidR="002B27D4" w:rsidRPr="00A93DC2" w:rsidRDefault="00FB4E5F" w:rsidP="00A93DC2">
            <w:pPr>
              <w:rPr>
                <w:szCs w:val="24"/>
              </w:rPr>
            </w:pPr>
            <w:r w:rsidRPr="00A93DC2">
              <w:rPr>
                <w:szCs w:val="24"/>
              </w:rPr>
              <w:t xml:space="preserve">2) Demontáž </w:t>
            </w:r>
            <w:r w:rsidR="002B27D4">
              <w:rPr>
                <w:szCs w:val="24"/>
              </w:rPr>
              <w:t xml:space="preserve">a likvidácia pôvodných </w:t>
            </w:r>
            <w:r w:rsidRPr="00A93DC2">
              <w:rPr>
                <w:szCs w:val="24"/>
              </w:rPr>
              <w:t>starých meničov</w:t>
            </w:r>
            <w:r w:rsidR="002B27D4">
              <w:rPr>
                <w:szCs w:val="24"/>
              </w:rPr>
              <w:t>.</w:t>
            </w:r>
          </w:p>
          <w:p w14:paraId="06AA852F" w14:textId="77777777" w:rsidR="00FB4E5F" w:rsidRPr="00A93DC2" w:rsidRDefault="00FB4E5F" w:rsidP="00A93DC2">
            <w:pPr>
              <w:rPr>
                <w:szCs w:val="24"/>
              </w:rPr>
            </w:pPr>
            <w:r w:rsidRPr="00A93DC2">
              <w:rPr>
                <w:szCs w:val="24"/>
              </w:rPr>
              <w:t>3) Montáž nových meničov do pôvodného rozvádzača a zapojenie do pôvodných obvodov</w:t>
            </w:r>
          </w:p>
          <w:p w14:paraId="06AA8530" w14:textId="77777777" w:rsidR="00FB4E5F" w:rsidRPr="00A93DC2" w:rsidRDefault="00FB4E5F" w:rsidP="00A93DC2">
            <w:pPr>
              <w:rPr>
                <w:szCs w:val="24"/>
              </w:rPr>
            </w:pPr>
            <w:r w:rsidRPr="00A93DC2">
              <w:rPr>
                <w:szCs w:val="24"/>
              </w:rPr>
              <w:t>4) Oživenie meničov na pôvodnú funkciu</w:t>
            </w:r>
          </w:p>
          <w:p w14:paraId="06AA8531" w14:textId="77777777" w:rsidR="00FB4E5F" w:rsidRPr="00A93DC2" w:rsidRDefault="00FB4E5F" w:rsidP="00A93DC2">
            <w:pPr>
              <w:rPr>
                <w:szCs w:val="24"/>
              </w:rPr>
            </w:pPr>
            <w:r w:rsidRPr="00A93DC2">
              <w:rPr>
                <w:szCs w:val="24"/>
              </w:rPr>
              <w:t xml:space="preserve">5) </w:t>
            </w:r>
            <w:r w:rsidR="002B27D4">
              <w:rPr>
                <w:szCs w:val="24"/>
              </w:rPr>
              <w:t>O</w:t>
            </w:r>
            <w:r w:rsidRPr="00A93DC2">
              <w:rPr>
                <w:szCs w:val="24"/>
              </w:rPr>
              <w:t>dladenie s výrobou</w:t>
            </w:r>
          </w:p>
          <w:p w14:paraId="06AA8532" w14:textId="77777777" w:rsidR="00A93DC2" w:rsidRPr="00A93DC2" w:rsidRDefault="00FB4E5F" w:rsidP="00A93DC2">
            <w:pPr>
              <w:rPr>
                <w:szCs w:val="24"/>
              </w:rPr>
            </w:pPr>
            <w:r w:rsidRPr="00A93DC2">
              <w:rPr>
                <w:szCs w:val="24"/>
              </w:rPr>
              <w:t>6) OPaOS - revízna správa</w:t>
            </w:r>
          </w:p>
          <w:p w14:paraId="06AA8533" w14:textId="77777777" w:rsidR="00A93DC2" w:rsidRDefault="00A93DC2" w:rsidP="001E071B">
            <w:pPr>
              <w:ind w:left="444" w:firstLine="0"/>
              <w:rPr>
                <w:szCs w:val="24"/>
              </w:rPr>
            </w:pPr>
            <w:r w:rsidRPr="001E071B">
              <w:rPr>
                <w:szCs w:val="24"/>
              </w:rPr>
              <w:t>7) cest</w:t>
            </w:r>
            <w:r w:rsidR="001E071B">
              <w:rPr>
                <w:szCs w:val="24"/>
              </w:rPr>
              <w:t xml:space="preserve">a z bodu </w:t>
            </w:r>
            <w:r w:rsidRPr="001E071B">
              <w:rPr>
                <w:szCs w:val="24"/>
              </w:rPr>
              <w:t xml:space="preserve">X </w:t>
            </w:r>
            <w:r w:rsidR="001E071B">
              <w:rPr>
                <w:szCs w:val="24"/>
              </w:rPr>
              <w:t>–</w:t>
            </w:r>
            <w:r w:rsidRPr="001E071B">
              <w:rPr>
                <w:szCs w:val="24"/>
              </w:rPr>
              <w:t xml:space="preserve"> </w:t>
            </w:r>
            <w:r w:rsidR="001E071B">
              <w:rPr>
                <w:szCs w:val="24"/>
              </w:rPr>
              <w:t xml:space="preserve">do </w:t>
            </w:r>
            <w:r w:rsidRPr="001E071B">
              <w:rPr>
                <w:szCs w:val="24"/>
              </w:rPr>
              <w:t>Bratislava</w:t>
            </w:r>
            <w:r w:rsidR="00C55601">
              <w:rPr>
                <w:szCs w:val="24"/>
              </w:rPr>
              <w:t xml:space="preserve"> ZEVO</w:t>
            </w:r>
            <w:r w:rsidRPr="001E071B">
              <w:rPr>
                <w:szCs w:val="24"/>
              </w:rPr>
              <w:t xml:space="preserve">, ubytovanie - súčasťou dodávky je odovzdanie </w:t>
            </w:r>
            <w:r w:rsidR="002B27D4">
              <w:rPr>
                <w:szCs w:val="24"/>
              </w:rPr>
              <w:t xml:space="preserve">  </w:t>
            </w:r>
            <w:r w:rsidRPr="001E071B">
              <w:rPr>
                <w:szCs w:val="24"/>
              </w:rPr>
              <w:t>nezablokovaného SW pre meniče a schém v PDF formáte</w:t>
            </w:r>
          </w:p>
          <w:p w14:paraId="06AA8534" w14:textId="77777777" w:rsidR="002B27D4" w:rsidRPr="001E071B" w:rsidRDefault="002B27D4" w:rsidP="001E071B">
            <w:pPr>
              <w:ind w:left="444" w:firstLine="0"/>
              <w:rPr>
                <w:szCs w:val="24"/>
              </w:rPr>
            </w:pPr>
            <w:r>
              <w:rPr>
                <w:szCs w:val="24"/>
              </w:rPr>
              <w:t>8) Dodanie parametrov meničov</w:t>
            </w:r>
          </w:p>
          <w:p w14:paraId="06AA8535" w14:textId="77777777" w:rsidR="00523BD7" w:rsidRDefault="00930299" w:rsidP="00136BB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  <w:r w:rsidRPr="00F06A48">
              <w:rPr>
                <w:szCs w:val="24"/>
              </w:rPr>
              <w:t xml:space="preserve">Zhotoviteľ je povinný pri výkone svojich prác dodržiavať všeobecne platné </w:t>
            </w:r>
            <w:r>
              <w:rPr>
                <w:szCs w:val="24"/>
              </w:rPr>
              <w:t xml:space="preserve">právne </w:t>
            </w:r>
            <w:r w:rsidR="00CA73C6">
              <w:rPr>
                <w:szCs w:val="24"/>
              </w:rPr>
              <w:t xml:space="preserve">normy </w:t>
            </w:r>
            <w:r>
              <w:rPr>
                <w:szCs w:val="24"/>
              </w:rPr>
              <w:t>SR, najmä predpisy BOZP a PO. V</w:t>
            </w:r>
            <w:r w:rsidRPr="00F06A48">
              <w:rPr>
                <w:szCs w:val="24"/>
              </w:rPr>
              <w:t xml:space="preserve">šetci pracovníci zhotoviteľa pred prvým nástupom na výkon prác absolvujú školenie o vnútorných podmienkach dodržiavania BOZP a PO </w:t>
            </w:r>
            <w:r>
              <w:rPr>
                <w:szCs w:val="24"/>
              </w:rPr>
              <w:t>v</w:t>
            </w:r>
            <w:r w:rsidRPr="00F06A48">
              <w:rPr>
                <w:szCs w:val="24"/>
              </w:rPr>
              <w:t xml:space="preserve"> Spaľovni, následne bude o vykonanom školení BOZP a</w:t>
            </w:r>
            <w:r>
              <w:rPr>
                <w:szCs w:val="24"/>
              </w:rPr>
              <w:t> PO spísaný protokol, zápisnica, ktorú podpíšu všetci pracovníci a školiteľ.</w:t>
            </w:r>
          </w:p>
          <w:p w14:paraId="06AA8536" w14:textId="77777777" w:rsidR="00930299" w:rsidRPr="00F06A48" w:rsidRDefault="00930299" w:rsidP="000625B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  <w:p w14:paraId="06AA8537" w14:textId="77777777" w:rsidR="0089336D" w:rsidRPr="00F06A48" w:rsidRDefault="00B92501" w:rsidP="00136BB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Počas </w:t>
            </w:r>
            <w:r w:rsidR="009D7702">
              <w:rPr>
                <w:szCs w:val="24"/>
              </w:rPr>
              <w:t>výkonu</w:t>
            </w:r>
            <w:r>
              <w:rPr>
                <w:szCs w:val="24"/>
              </w:rPr>
              <w:t xml:space="preserve"> prác  bude zhotoviteľom prác vystavený montážny denník a po ukončení prác bude vystavený protokol o odovzdaní a</w:t>
            </w:r>
            <w:r w:rsidR="00930299">
              <w:rPr>
                <w:szCs w:val="24"/>
              </w:rPr>
              <w:t> prevzatí prác, sprievodná technická dokumentácia</w:t>
            </w:r>
            <w:r w:rsidR="00223397">
              <w:rPr>
                <w:szCs w:val="24"/>
              </w:rPr>
              <w:t>, projekt</w:t>
            </w:r>
            <w:r w:rsidR="00537441">
              <w:rPr>
                <w:szCs w:val="24"/>
              </w:rPr>
              <w:t xml:space="preserve"> – doplnenie merania kremíka pri panely analyzátorov v kotolni</w:t>
            </w:r>
            <w:r>
              <w:rPr>
                <w:szCs w:val="24"/>
              </w:rPr>
              <w:t>.</w:t>
            </w:r>
          </w:p>
          <w:p w14:paraId="06AA8538" w14:textId="77777777" w:rsidR="00523BD7" w:rsidRPr="00960DA4" w:rsidRDefault="00523BD7" w:rsidP="00136BB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</w:p>
          <w:p w14:paraId="06AA8539" w14:textId="381C0C56" w:rsidR="00D71D2C" w:rsidRPr="00F06A48" w:rsidRDefault="00D71D2C" w:rsidP="00136BB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  <w:r w:rsidRPr="00F06A48">
              <w:rPr>
                <w:szCs w:val="24"/>
              </w:rPr>
              <w:t xml:space="preserve">Zhotoviteľ bude objednávateľa o termíne </w:t>
            </w:r>
            <w:r w:rsidR="00B92501">
              <w:rPr>
                <w:szCs w:val="24"/>
              </w:rPr>
              <w:t>prác</w:t>
            </w:r>
            <w:r w:rsidRPr="00F06A48">
              <w:rPr>
                <w:szCs w:val="24"/>
              </w:rPr>
              <w:t xml:space="preserve"> vopred informov</w:t>
            </w:r>
            <w:r w:rsidR="00E63565">
              <w:rPr>
                <w:szCs w:val="24"/>
              </w:rPr>
              <w:t>ať</w:t>
            </w:r>
            <w:r w:rsidRPr="00F06A48">
              <w:rPr>
                <w:szCs w:val="24"/>
              </w:rPr>
              <w:t xml:space="preserve">, </w:t>
            </w:r>
            <w:r w:rsidR="00B92501">
              <w:rPr>
                <w:szCs w:val="24"/>
              </w:rPr>
              <w:t xml:space="preserve"> </w:t>
            </w:r>
            <w:r w:rsidR="00CA73C6">
              <w:rPr>
                <w:szCs w:val="24"/>
              </w:rPr>
              <w:t>O</w:t>
            </w:r>
            <w:r w:rsidRPr="00F06A48">
              <w:rPr>
                <w:szCs w:val="24"/>
              </w:rPr>
              <w:t>bjednávateľ umožn</w:t>
            </w:r>
            <w:r w:rsidR="00CA73C6">
              <w:rPr>
                <w:szCs w:val="24"/>
              </w:rPr>
              <w:t>í</w:t>
            </w:r>
            <w:r w:rsidRPr="00F06A48">
              <w:rPr>
                <w:szCs w:val="24"/>
              </w:rPr>
              <w:t xml:space="preserve"> vstup pracovníko</w:t>
            </w:r>
            <w:r w:rsidR="00CA73C6">
              <w:rPr>
                <w:szCs w:val="24"/>
              </w:rPr>
              <w:t>m</w:t>
            </w:r>
            <w:r w:rsidRPr="00F06A48">
              <w:rPr>
                <w:szCs w:val="24"/>
              </w:rPr>
              <w:t xml:space="preserve"> zhotoviteľa vrátane automobilu </w:t>
            </w:r>
            <w:r w:rsidR="00B92501">
              <w:rPr>
                <w:szCs w:val="24"/>
              </w:rPr>
              <w:t xml:space="preserve">s materiálom </w:t>
            </w:r>
            <w:r w:rsidRPr="00F06A48">
              <w:rPr>
                <w:szCs w:val="24"/>
              </w:rPr>
              <w:t xml:space="preserve">do areálu </w:t>
            </w:r>
            <w:r w:rsidR="00CA73C6">
              <w:rPr>
                <w:szCs w:val="24"/>
              </w:rPr>
              <w:t>ZEVO (</w:t>
            </w:r>
            <w:r w:rsidRPr="00F06A48">
              <w:rPr>
                <w:szCs w:val="24"/>
              </w:rPr>
              <w:t>Spaľovne</w:t>
            </w:r>
            <w:r w:rsidR="00CA73C6">
              <w:rPr>
                <w:szCs w:val="24"/>
              </w:rPr>
              <w:t>)</w:t>
            </w:r>
            <w:r w:rsidRPr="00F06A48">
              <w:rPr>
                <w:szCs w:val="24"/>
              </w:rPr>
              <w:t>.</w:t>
            </w:r>
          </w:p>
          <w:p w14:paraId="06AA853A" w14:textId="77777777" w:rsidR="00523BD7" w:rsidRPr="00960DA4" w:rsidRDefault="00523BD7" w:rsidP="00136BB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</w:p>
          <w:p w14:paraId="06AA853D" w14:textId="3E18FC6B" w:rsidR="009C2299" w:rsidRPr="00960DA4" w:rsidRDefault="00D71D2C" w:rsidP="00136BB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  <w:r w:rsidRPr="00F06A48">
              <w:rPr>
                <w:szCs w:val="24"/>
              </w:rPr>
              <w:t xml:space="preserve">Zhotoviteľ je povinný dodržiavať všetky platné právne predpisy, technické normy SR. Všetky práce bude zhotoviteľ vykonávať tak, aby nespôsobil škodu na </w:t>
            </w:r>
            <w:r w:rsidR="00930299">
              <w:rPr>
                <w:szCs w:val="24"/>
              </w:rPr>
              <w:t>majetku objednávateľa</w:t>
            </w:r>
            <w:r w:rsidR="00930299" w:rsidRPr="00930299">
              <w:rPr>
                <w:szCs w:val="24"/>
              </w:rPr>
              <w:t>, bez negatívneho vplyvu na zložky životného prostredia.</w:t>
            </w:r>
            <w:r w:rsidR="00EA62E6" w:rsidRPr="00F06A48">
              <w:rPr>
                <w:szCs w:val="24"/>
              </w:rPr>
              <w:t xml:space="preserve"> </w:t>
            </w:r>
          </w:p>
          <w:p w14:paraId="06AA853E" w14:textId="77777777" w:rsidR="00091E06" w:rsidRPr="00F06A48" w:rsidRDefault="00091E06" w:rsidP="000F32F3">
            <w:pPr>
              <w:pStyle w:val="Odsekzoznamu"/>
              <w:ind w:left="804" w:firstLine="0"/>
              <w:rPr>
                <w:szCs w:val="24"/>
              </w:rPr>
            </w:pPr>
          </w:p>
        </w:tc>
      </w:tr>
      <w:tr w:rsidR="00091E06" w:rsidRPr="00F06A48" w14:paraId="06AA854A" w14:textId="77777777" w:rsidTr="00960DA4">
        <w:trPr>
          <w:trHeight w:val="83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545" w14:textId="5F98754D" w:rsidR="00170CE3" w:rsidRPr="00F06A48" w:rsidRDefault="00C25783" w:rsidP="00170CE3">
            <w:pPr>
              <w:spacing w:line="26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Úspešný uchádzač predloží k podpisu zmluvy – súčinnosť pri uzatváraní zmluvy</w:t>
            </w:r>
            <w:r w:rsidR="00CD0D35">
              <w:rPr>
                <w:color w:val="auto"/>
                <w:szCs w:val="24"/>
              </w:rPr>
              <w:t>:</w:t>
            </w:r>
          </w:p>
          <w:p w14:paraId="06AA8548" w14:textId="77777777" w:rsidR="00170CE3" w:rsidRPr="00F06A48" w:rsidRDefault="00170CE3" w:rsidP="00960DA4">
            <w:pPr>
              <w:spacing w:line="266" w:lineRule="auto"/>
              <w:ind w:left="0" w:firstLine="0"/>
              <w:rPr>
                <w:color w:val="auto"/>
                <w:szCs w:val="24"/>
              </w:rPr>
            </w:pPr>
          </w:p>
          <w:p w14:paraId="33061ACB" w14:textId="5B414FF2" w:rsidR="00791A40" w:rsidRDefault="00170CE3" w:rsidP="00847A99">
            <w:pPr>
              <w:pStyle w:val="Odsekzoznamu"/>
              <w:numPr>
                <w:ilvl w:val="0"/>
                <w:numId w:val="7"/>
              </w:numPr>
              <w:spacing w:line="266" w:lineRule="auto"/>
              <w:rPr>
                <w:color w:val="auto"/>
                <w:szCs w:val="24"/>
              </w:rPr>
            </w:pPr>
            <w:r w:rsidRPr="00F06A48">
              <w:rPr>
                <w:color w:val="auto"/>
                <w:szCs w:val="24"/>
              </w:rPr>
              <w:t xml:space="preserve">certifikát systému manažérstva kvality vydaného nezávislou inštitúciou, ktorým sa potvrdzuje splnenie požiadaviek noriem na systém manažérstva kvality uchádzačom </w:t>
            </w:r>
            <w:r w:rsidRPr="00F06A48">
              <w:rPr>
                <w:color w:val="auto"/>
                <w:szCs w:val="24"/>
              </w:rPr>
              <w:lastRenderedPageBreak/>
              <w:t>alebo rovnocenný dôkaz o opatreniach na zabezpečenie systému manažérstva kvality podľa požiadaviek na vystavenie príslušného certifikátu, resp. doklad o zabezpečení systému manažérstva kvality (ISO 9001); uchádzač predloží certifikát systému manažérstva kvality podľa EN ISO 9001 na technické práce</w:t>
            </w:r>
            <w:r w:rsidR="00847A99">
              <w:rPr>
                <w:color w:val="auto"/>
                <w:szCs w:val="24"/>
              </w:rPr>
              <w:t>, zváračské práce</w:t>
            </w:r>
            <w:r w:rsidRPr="00F06A48">
              <w:rPr>
                <w:color w:val="auto"/>
                <w:szCs w:val="24"/>
              </w:rPr>
              <w:t>, resp. iné dôkazy preukazujúce opatrenia na zabezpečenie kvality (ISO). Verejný obstarávateľ uzná ako rovnocenné osvedčenia vydané príslušnými orgánmi členských štátov EÚ za účelom preukázania opatrení po</w:t>
            </w:r>
            <w:r w:rsidR="00960DA4">
              <w:rPr>
                <w:color w:val="auto"/>
                <w:szCs w:val="24"/>
              </w:rPr>
              <w:t>užitých na zabezpečenie kvality.</w:t>
            </w:r>
            <w:r w:rsidR="00E63565">
              <w:rPr>
                <w:color w:val="auto"/>
                <w:szCs w:val="24"/>
              </w:rPr>
              <w:t xml:space="preserve"> VO prijme aj iné dôkazy o rovnocenných opatreniach na zabezpečenie kvality, ktorými sa uchádzač preukáže v zmysle §35 </w:t>
            </w:r>
            <w:r w:rsidR="00E63565" w:rsidRPr="00E63565">
              <w:rPr>
                <w:color w:val="auto"/>
                <w:szCs w:val="24"/>
              </w:rPr>
              <w:t>Zákon</w:t>
            </w:r>
            <w:r w:rsidR="00E63565">
              <w:rPr>
                <w:color w:val="auto"/>
                <w:szCs w:val="24"/>
              </w:rPr>
              <w:t>u</w:t>
            </w:r>
            <w:r w:rsidR="00E63565" w:rsidRPr="00E63565">
              <w:rPr>
                <w:color w:val="auto"/>
                <w:szCs w:val="24"/>
              </w:rPr>
              <w:t xml:space="preserve"> o verejnom obstarávaní a o zmene a doplnení niektorých zákonov</w:t>
            </w:r>
            <w:r w:rsidR="00E63565">
              <w:rPr>
                <w:color w:val="auto"/>
                <w:szCs w:val="24"/>
              </w:rPr>
              <w:t>.</w:t>
            </w:r>
          </w:p>
          <w:p w14:paraId="73A4DCF7" w14:textId="05A46BA5" w:rsidR="00486A62" w:rsidRDefault="00486A62" w:rsidP="00486A62">
            <w:pPr>
              <w:spacing w:line="266" w:lineRule="auto"/>
              <w:rPr>
                <w:color w:val="auto"/>
                <w:szCs w:val="24"/>
              </w:rPr>
            </w:pPr>
          </w:p>
          <w:p w14:paraId="0FC239B0" w14:textId="292BD6E0" w:rsidR="00486A62" w:rsidRDefault="00486A62" w:rsidP="00486A62">
            <w:pPr>
              <w:spacing w:line="266" w:lineRule="auto"/>
              <w:rPr>
                <w:color w:val="auto"/>
                <w:szCs w:val="24"/>
              </w:rPr>
            </w:pPr>
          </w:p>
          <w:p w14:paraId="3856FF00" w14:textId="77777777" w:rsidR="00486A62" w:rsidRPr="00486A62" w:rsidRDefault="00486A62" w:rsidP="00486A62">
            <w:pPr>
              <w:rPr>
                <w:b/>
                <w:bCs/>
              </w:rPr>
            </w:pPr>
            <w:r w:rsidRPr="00486A62">
              <w:rPr>
                <w:b/>
                <w:bCs/>
              </w:rPr>
              <w:t>Podmienky dodania:</w:t>
            </w:r>
          </w:p>
          <w:p w14:paraId="7C816CCD" w14:textId="2DD72805" w:rsidR="00486A62" w:rsidRDefault="00486A62" w:rsidP="00486A62">
            <w:r>
              <w:t>Vrátane dopravy na miesto plnenia Bratislava. Termín dodania</w:t>
            </w:r>
            <w:r w:rsidR="00A60331">
              <w:t>, realizácie</w:t>
            </w:r>
            <w:r>
              <w:t xml:space="preserve"> do </w:t>
            </w:r>
            <w:r w:rsidR="00A60331">
              <w:t>31.10.2020</w:t>
            </w:r>
            <w:r>
              <w:t xml:space="preserve"> od účinnosti zmluvy. Ak sa v technickej špecifikácií uvádzajú údaje alebo odkazy na konkrétneho výrobcu, výrobný postup, značku, obchodný názov, patent alebo typ, umožňuje sa Dodávateľovi predloženie ponuky </w:t>
            </w:r>
            <w:r w:rsidRPr="00425352">
              <w:rPr>
                <w:b/>
                <w:bCs/>
              </w:rPr>
              <w:t>s ekvivalentným riešením</w:t>
            </w:r>
            <w:r>
              <w:t xml:space="preserve"> s porovnateľnými, respektíve lepšími parametrami. </w:t>
            </w:r>
            <w:r w:rsidRPr="00425352">
              <w:rPr>
                <w:b/>
                <w:bCs/>
              </w:rPr>
              <w:t>Ekvivalent</w:t>
            </w:r>
            <w:r>
              <w:t xml:space="preserve"> je možné dodať v rovnakej alebo vyššej kvalite. Obchodný názov, patent alebo typ v tomto prípade udáva minimálne požadované parametre výrobku. K ekvivalentnému výrobku je potrebné dodať kompletnú technickú dokumentáciu a potvrdenie o zhode pre použitie v EU. V prípade ekvivalentného výrobku je potrebné predložiť objednávateľovi do 5 pracovných dní od uzavretia Zmluvy ZNAČKU a TYP, kompletnú technickú dokumentáciu ( prípadne elektronický odkaz na výrobcu) ponúkaného. Dodávateľ dodá tovar v požadovanej kvalite a dopraví ho na vlastné náklady do sídla Objednávateľa. Objednávateľ požaduje dodať tovar celkom nový, nepoškodený, zodpovedajúci požiadavkám Objednávateľa. Objednávateľ požaduje tovar náležite zabaliť inak obvyklým spôsobom tak, aby nedošlo k jeho poškodeniu, strate alebo zničeniu a aby bola zabezpečená jeho ochrana až do momentu prevzatia Tovaru Objednávateľom. Dodávateľ je povinný dodať Objednávateľovi spolu s Tovarom všetky doklady a dokumenty týkajúce sa Tovaru, ktoré sú nevyhnutné pre jeho riadnu montáž, inštaláciu, uvedenie do prevádzky, používanie, či údržbu, ak taká potreba vyplýva z povahy Tovaru či dohodnutej Špecifikácie.</w:t>
            </w:r>
          </w:p>
          <w:p w14:paraId="11DF2339" w14:textId="77777777" w:rsidR="00486A62" w:rsidRPr="00486A62" w:rsidRDefault="00486A62" w:rsidP="00486A62">
            <w:pPr>
              <w:spacing w:line="266" w:lineRule="auto"/>
              <w:rPr>
                <w:color w:val="auto"/>
                <w:szCs w:val="24"/>
              </w:rPr>
            </w:pPr>
          </w:p>
          <w:p w14:paraId="06AA8549" w14:textId="3621354A" w:rsidR="0024740F" w:rsidRPr="00960DA4" w:rsidRDefault="0024740F" w:rsidP="006E6370">
            <w:pPr>
              <w:pStyle w:val="Odsekzoznamu"/>
              <w:spacing w:line="266" w:lineRule="auto"/>
              <w:ind w:left="710" w:firstLine="0"/>
              <w:rPr>
                <w:color w:val="auto"/>
                <w:szCs w:val="24"/>
              </w:rPr>
            </w:pPr>
          </w:p>
        </w:tc>
      </w:tr>
    </w:tbl>
    <w:p w14:paraId="06AA854B" w14:textId="77777777" w:rsidR="00091E06" w:rsidRPr="00F06A48" w:rsidRDefault="00091E06" w:rsidP="00091E06">
      <w:pPr>
        <w:spacing w:after="96" w:line="259" w:lineRule="auto"/>
        <w:ind w:left="19" w:right="0" w:firstLine="0"/>
        <w:jc w:val="left"/>
        <w:rPr>
          <w:szCs w:val="24"/>
        </w:rPr>
      </w:pPr>
      <w:r w:rsidRPr="00F06A48">
        <w:rPr>
          <w:szCs w:val="24"/>
        </w:rPr>
        <w:lastRenderedPageBreak/>
        <w:t xml:space="preserve"> </w:t>
      </w:r>
    </w:p>
    <w:p w14:paraId="06AA854C" w14:textId="77777777" w:rsidR="00960DA4" w:rsidRDefault="00960DA4" w:rsidP="00091E06">
      <w:pPr>
        <w:spacing w:after="0" w:line="259" w:lineRule="auto"/>
        <w:ind w:left="19" w:right="0" w:firstLine="0"/>
        <w:jc w:val="left"/>
        <w:rPr>
          <w:b/>
          <w:szCs w:val="24"/>
        </w:rPr>
      </w:pPr>
    </w:p>
    <w:p w14:paraId="06AA858B" w14:textId="640156C1" w:rsidR="00091E06" w:rsidRPr="00F06A48" w:rsidRDefault="00091E06" w:rsidP="00CD0D35">
      <w:pPr>
        <w:spacing w:after="0" w:line="259" w:lineRule="auto"/>
        <w:ind w:left="19" w:right="0" w:firstLine="0"/>
        <w:jc w:val="left"/>
        <w:rPr>
          <w:szCs w:val="24"/>
        </w:rPr>
      </w:pPr>
      <w:r w:rsidRPr="00F06A48">
        <w:rPr>
          <w:b/>
          <w:szCs w:val="24"/>
        </w:rPr>
        <w:t xml:space="preserve"> </w:t>
      </w:r>
    </w:p>
    <w:p w14:paraId="06AA858C" w14:textId="77777777" w:rsidR="0031686C" w:rsidRPr="00F06A48" w:rsidRDefault="0031686C">
      <w:pPr>
        <w:rPr>
          <w:szCs w:val="24"/>
        </w:rPr>
      </w:pPr>
    </w:p>
    <w:sectPr w:rsidR="0031686C" w:rsidRPr="00F06A48" w:rsidSect="00960DA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AB1"/>
    <w:multiLevelType w:val="hybridMultilevel"/>
    <w:tmpl w:val="6122B966"/>
    <w:lvl w:ilvl="0" w:tplc="01F436EC">
      <w:start w:val="2"/>
      <w:numFmt w:val="bullet"/>
      <w:lvlText w:val="-"/>
      <w:lvlJc w:val="left"/>
      <w:pPr>
        <w:ind w:left="11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04C65E15"/>
    <w:multiLevelType w:val="hybridMultilevel"/>
    <w:tmpl w:val="92262964"/>
    <w:lvl w:ilvl="0" w:tplc="30DCCFF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05606939"/>
    <w:multiLevelType w:val="hybridMultilevel"/>
    <w:tmpl w:val="9606F9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74B8"/>
    <w:multiLevelType w:val="hybridMultilevel"/>
    <w:tmpl w:val="D46A8FD0"/>
    <w:lvl w:ilvl="0" w:tplc="44BC610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0EA7445E"/>
    <w:multiLevelType w:val="hybridMultilevel"/>
    <w:tmpl w:val="DC52DECE"/>
    <w:lvl w:ilvl="0" w:tplc="0778C68E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189C566B"/>
    <w:multiLevelType w:val="hybridMultilevel"/>
    <w:tmpl w:val="0C6870F2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18D31129"/>
    <w:multiLevelType w:val="hybridMultilevel"/>
    <w:tmpl w:val="09683BCC"/>
    <w:lvl w:ilvl="0" w:tplc="D8C6A76A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 w15:restartNumberingAfterBreak="0">
    <w:nsid w:val="26A54FC5"/>
    <w:multiLevelType w:val="hybridMultilevel"/>
    <w:tmpl w:val="54E41674"/>
    <w:lvl w:ilvl="0" w:tplc="C55001D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383C0CE7"/>
    <w:multiLevelType w:val="hybridMultilevel"/>
    <w:tmpl w:val="D39A6C66"/>
    <w:lvl w:ilvl="0" w:tplc="F15C02AC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3F433C7B"/>
    <w:multiLevelType w:val="hybridMultilevel"/>
    <w:tmpl w:val="5D2E1AEE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8B5461"/>
    <w:multiLevelType w:val="hybridMultilevel"/>
    <w:tmpl w:val="9592866E"/>
    <w:lvl w:ilvl="0" w:tplc="3EC0CDE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06"/>
    <w:rsid w:val="000355B0"/>
    <w:rsid w:val="000625BA"/>
    <w:rsid w:val="00062C81"/>
    <w:rsid w:val="00064FCA"/>
    <w:rsid w:val="00074316"/>
    <w:rsid w:val="00091E06"/>
    <w:rsid w:val="000950F9"/>
    <w:rsid w:val="000A205C"/>
    <w:rsid w:val="000F0581"/>
    <w:rsid w:val="000F32F3"/>
    <w:rsid w:val="001156E7"/>
    <w:rsid w:val="00131968"/>
    <w:rsid w:val="00134A23"/>
    <w:rsid w:val="00136BB0"/>
    <w:rsid w:val="00152397"/>
    <w:rsid w:val="00170CE3"/>
    <w:rsid w:val="00186A7C"/>
    <w:rsid w:val="001913A5"/>
    <w:rsid w:val="001D66E4"/>
    <w:rsid w:val="001E0349"/>
    <w:rsid w:val="001E071B"/>
    <w:rsid w:val="001E470E"/>
    <w:rsid w:val="002002C0"/>
    <w:rsid w:val="00214D32"/>
    <w:rsid w:val="0021591D"/>
    <w:rsid w:val="002171EC"/>
    <w:rsid w:val="00223397"/>
    <w:rsid w:val="00225FEF"/>
    <w:rsid w:val="00230B74"/>
    <w:rsid w:val="0024740F"/>
    <w:rsid w:val="00247668"/>
    <w:rsid w:val="00254B29"/>
    <w:rsid w:val="00255633"/>
    <w:rsid w:val="002B27D4"/>
    <w:rsid w:val="002D6CD3"/>
    <w:rsid w:val="002E2005"/>
    <w:rsid w:val="002F4E2C"/>
    <w:rsid w:val="00302D8F"/>
    <w:rsid w:val="0031686C"/>
    <w:rsid w:val="003362C1"/>
    <w:rsid w:val="00340724"/>
    <w:rsid w:val="00363F73"/>
    <w:rsid w:val="003A581E"/>
    <w:rsid w:val="00425352"/>
    <w:rsid w:val="00436D04"/>
    <w:rsid w:val="00480C79"/>
    <w:rsid w:val="00486A62"/>
    <w:rsid w:val="004C07CD"/>
    <w:rsid w:val="004C20A7"/>
    <w:rsid w:val="004C5819"/>
    <w:rsid w:val="004D1687"/>
    <w:rsid w:val="005005EC"/>
    <w:rsid w:val="00511CB3"/>
    <w:rsid w:val="0052116F"/>
    <w:rsid w:val="00523BD7"/>
    <w:rsid w:val="0053080E"/>
    <w:rsid w:val="00537441"/>
    <w:rsid w:val="005459BB"/>
    <w:rsid w:val="005534C2"/>
    <w:rsid w:val="00553F8C"/>
    <w:rsid w:val="005678BE"/>
    <w:rsid w:val="00575893"/>
    <w:rsid w:val="00576630"/>
    <w:rsid w:val="005835E4"/>
    <w:rsid w:val="005B594A"/>
    <w:rsid w:val="005E7170"/>
    <w:rsid w:val="005F431E"/>
    <w:rsid w:val="00611B91"/>
    <w:rsid w:val="006171C2"/>
    <w:rsid w:val="00626F50"/>
    <w:rsid w:val="00685CC2"/>
    <w:rsid w:val="006A457C"/>
    <w:rsid w:val="006C0B90"/>
    <w:rsid w:val="006C1088"/>
    <w:rsid w:val="006D7D8C"/>
    <w:rsid w:val="006E284F"/>
    <w:rsid w:val="006E6370"/>
    <w:rsid w:val="00704954"/>
    <w:rsid w:val="00727715"/>
    <w:rsid w:val="007308F5"/>
    <w:rsid w:val="007674A0"/>
    <w:rsid w:val="00791A40"/>
    <w:rsid w:val="00820F8E"/>
    <w:rsid w:val="00847A99"/>
    <w:rsid w:val="0085473F"/>
    <w:rsid w:val="00875A3A"/>
    <w:rsid w:val="00882AB1"/>
    <w:rsid w:val="0089336D"/>
    <w:rsid w:val="0089396C"/>
    <w:rsid w:val="00897BA9"/>
    <w:rsid w:val="008A23C5"/>
    <w:rsid w:val="008B3FC1"/>
    <w:rsid w:val="008B5DFB"/>
    <w:rsid w:val="008F4F9B"/>
    <w:rsid w:val="00927F3D"/>
    <w:rsid w:val="00930299"/>
    <w:rsid w:val="009421AF"/>
    <w:rsid w:val="00944DD6"/>
    <w:rsid w:val="00960DA4"/>
    <w:rsid w:val="00964D44"/>
    <w:rsid w:val="00972844"/>
    <w:rsid w:val="0097540F"/>
    <w:rsid w:val="00996946"/>
    <w:rsid w:val="009B05F2"/>
    <w:rsid w:val="009C2299"/>
    <w:rsid w:val="009C2C6F"/>
    <w:rsid w:val="009C6010"/>
    <w:rsid w:val="009D33B0"/>
    <w:rsid w:val="009D7702"/>
    <w:rsid w:val="009E4304"/>
    <w:rsid w:val="009F710E"/>
    <w:rsid w:val="00A02A80"/>
    <w:rsid w:val="00A03824"/>
    <w:rsid w:val="00A07FD6"/>
    <w:rsid w:val="00A101DF"/>
    <w:rsid w:val="00A13912"/>
    <w:rsid w:val="00A14C37"/>
    <w:rsid w:val="00A221DA"/>
    <w:rsid w:val="00A3341D"/>
    <w:rsid w:val="00A43790"/>
    <w:rsid w:val="00A43CEC"/>
    <w:rsid w:val="00A509F1"/>
    <w:rsid w:val="00A57550"/>
    <w:rsid w:val="00A60331"/>
    <w:rsid w:val="00A8419C"/>
    <w:rsid w:val="00A93675"/>
    <w:rsid w:val="00A93DC2"/>
    <w:rsid w:val="00AA1A0F"/>
    <w:rsid w:val="00AB5B76"/>
    <w:rsid w:val="00AC72B6"/>
    <w:rsid w:val="00AD09A7"/>
    <w:rsid w:val="00AE69C9"/>
    <w:rsid w:val="00B241A1"/>
    <w:rsid w:val="00B26D80"/>
    <w:rsid w:val="00B361F2"/>
    <w:rsid w:val="00B56EDE"/>
    <w:rsid w:val="00B92501"/>
    <w:rsid w:val="00B95DD2"/>
    <w:rsid w:val="00BB4FAA"/>
    <w:rsid w:val="00BC1913"/>
    <w:rsid w:val="00BF4422"/>
    <w:rsid w:val="00BF75CE"/>
    <w:rsid w:val="00C120A7"/>
    <w:rsid w:val="00C2200B"/>
    <w:rsid w:val="00C25783"/>
    <w:rsid w:val="00C306CB"/>
    <w:rsid w:val="00C55601"/>
    <w:rsid w:val="00C6690F"/>
    <w:rsid w:val="00C76EE8"/>
    <w:rsid w:val="00C8053A"/>
    <w:rsid w:val="00CA73C6"/>
    <w:rsid w:val="00CA77C8"/>
    <w:rsid w:val="00CB7544"/>
    <w:rsid w:val="00CD0D35"/>
    <w:rsid w:val="00CE234F"/>
    <w:rsid w:val="00CF3C3B"/>
    <w:rsid w:val="00CF642A"/>
    <w:rsid w:val="00D24A52"/>
    <w:rsid w:val="00D272F3"/>
    <w:rsid w:val="00D454DD"/>
    <w:rsid w:val="00D71D2C"/>
    <w:rsid w:val="00D74999"/>
    <w:rsid w:val="00D84BF8"/>
    <w:rsid w:val="00DA233D"/>
    <w:rsid w:val="00DB3B1E"/>
    <w:rsid w:val="00DC3C7D"/>
    <w:rsid w:val="00DE74CD"/>
    <w:rsid w:val="00DF3554"/>
    <w:rsid w:val="00DF70E8"/>
    <w:rsid w:val="00E167B9"/>
    <w:rsid w:val="00E174EB"/>
    <w:rsid w:val="00E63565"/>
    <w:rsid w:val="00E83A2C"/>
    <w:rsid w:val="00E83DFC"/>
    <w:rsid w:val="00E83EC8"/>
    <w:rsid w:val="00EA4879"/>
    <w:rsid w:val="00EA62E6"/>
    <w:rsid w:val="00EA71E0"/>
    <w:rsid w:val="00ED3AD8"/>
    <w:rsid w:val="00EE3D4B"/>
    <w:rsid w:val="00EE3F5B"/>
    <w:rsid w:val="00F06A48"/>
    <w:rsid w:val="00F24E6F"/>
    <w:rsid w:val="00F2718B"/>
    <w:rsid w:val="00F329E9"/>
    <w:rsid w:val="00F51E85"/>
    <w:rsid w:val="00F544AC"/>
    <w:rsid w:val="00F6056B"/>
    <w:rsid w:val="00F65FAA"/>
    <w:rsid w:val="00F67790"/>
    <w:rsid w:val="00F86354"/>
    <w:rsid w:val="00F93AFC"/>
    <w:rsid w:val="00FA24ED"/>
    <w:rsid w:val="00FA4B08"/>
    <w:rsid w:val="00FB4E5F"/>
    <w:rsid w:val="00FD7065"/>
    <w:rsid w:val="00FE52C6"/>
    <w:rsid w:val="00FE7ECF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84D0"/>
  <w15:docId w15:val="{4C11A166-777D-4876-BBCE-546B5CD5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E0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91E0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1E06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091E06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Zvraznenie">
    <w:name w:val="Emphasis"/>
    <w:basedOn w:val="Predvolenpsmoodseku"/>
    <w:uiPriority w:val="20"/>
    <w:qFormat/>
    <w:rsid w:val="00791A40"/>
    <w:rPr>
      <w:b/>
      <w:bCs/>
      <w:i w:val="0"/>
      <w:iCs w:val="0"/>
    </w:rPr>
  </w:style>
  <w:style w:type="character" w:customStyle="1" w:styleId="st1">
    <w:name w:val="st1"/>
    <w:basedOn w:val="Predvolenpsmoodseku"/>
    <w:rsid w:val="00791A40"/>
  </w:style>
  <w:style w:type="paragraph" w:customStyle="1" w:styleId="Default">
    <w:name w:val="Default"/>
    <w:rsid w:val="00ED3A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CEC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40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8239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0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4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2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8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82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Milan-PC</dc:creator>
  <cp:keywords/>
  <dc:description/>
  <cp:lastModifiedBy>Hamala Milan</cp:lastModifiedBy>
  <cp:revision>16</cp:revision>
  <cp:lastPrinted>2019-10-01T12:36:00Z</cp:lastPrinted>
  <dcterms:created xsi:type="dcterms:W3CDTF">2020-08-06T06:32:00Z</dcterms:created>
  <dcterms:modified xsi:type="dcterms:W3CDTF">2020-08-06T06:57:00Z</dcterms:modified>
</cp:coreProperties>
</file>