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11129C02" w:rsidR="00B50737" w:rsidRPr="00505A08" w:rsidRDefault="00D26747" w:rsidP="001F1467">
      <w:pPr>
        <w:jc w:val="both"/>
        <w:rPr>
          <w:rFonts w:ascii="Calibri" w:hAnsi="Calibri"/>
          <w:b/>
          <w:sz w:val="22"/>
          <w:szCs w:val="22"/>
        </w:rPr>
      </w:pPr>
      <w:r w:rsidRPr="00505A08">
        <w:rPr>
          <w:rFonts w:ascii="Calibri" w:hAnsi="Calibri"/>
          <w:b/>
          <w:sz w:val="22"/>
          <w:szCs w:val="22"/>
        </w:rPr>
        <w:t>KMS-PT, s.r.o.</w:t>
      </w:r>
    </w:p>
    <w:p w14:paraId="7E7F184B" w14:textId="3CEFE49C"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K Surdoku 5/A, 080 01 Prešov</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6CD3FB71" w14:textId="2A3CCA85" w:rsidR="00BD0474" w:rsidRDefault="000739A9" w:rsidP="000739A9">
      <w:pPr>
        <w:jc w:val="both"/>
        <w:rPr>
          <w:rFonts w:ascii="Calibri" w:hAnsi="Calibri"/>
          <w:b/>
          <w:sz w:val="22"/>
          <w:szCs w:val="22"/>
        </w:rPr>
      </w:pPr>
      <w:r w:rsidRPr="00CA76D1">
        <w:rPr>
          <w:rFonts w:ascii="Calibri" w:hAnsi="Calibri"/>
          <w:sz w:val="22"/>
          <w:szCs w:val="22"/>
        </w:rPr>
        <w:t xml:space="preserve">IČO: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36 515 728</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1B62042E" w14:textId="482D5BDA" w:rsidR="004826F8" w:rsidRPr="00CA76D1" w:rsidRDefault="000739A9" w:rsidP="000739A9">
      <w:pPr>
        <w:jc w:val="both"/>
        <w:rPr>
          <w:rFonts w:ascii="Calibri" w:hAnsi="Calibri"/>
          <w:sz w:val="22"/>
          <w:szCs w:val="22"/>
        </w:rPr>
      </w:pPr>
      <w:r w:rsidRPr="00CA76D1">
        <w:rPr>
          <w:rFonts w:ascii="Calibri" w:hAnsi="Calibri"/>
          <w:sz w:val="22"/>
          <w:szCs w:val="22"/>
        </w:rPr>
        <w:t>DIČ:</w:t>
      </w:r>
      <w:r w:rsidR="00D26747">
        <w:rPr>
          <w:rFonts w:ascii="Calibri" w:hAnsi="Calibri"/>
          <w:sz w:val="22"/>
          <w:szCs w:val="22"/>
        </w:rPr>
        <w:t xml:space="preserve">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2022185781</w:t>
      </w:r>
      <w:r w:rsidRPr="00CA76D1">
        <w:rPr>
          <w:rFonts w:ascii="Calibri" w:hAnsi="Calibri"/>
          <w:sz w:val="22"/>
          <w:szCs w:val="22"/>
        </w:rPr>
        <w:tab/>
      </w:r>
      <w:r w:rsidR="00311C46">
        <w:rPr>
          <w:rFonts w:ascii="Calibri" w:hAnsi="Calibri"/>
          <w:sz w:val="22"/>
          <w:szCs w:val="22"/>
        </w:rPr>
        <w:t xml:space="preserve">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1A47225E" w14:textId="49184F54" w:rsidR="000739A9" w:rsidRPr="00CA76D1" w:rsidRDefault="00311C46" w:rsidP="000739A9">
      <w:pPr>
        <w:jc w:val="both"/>
        <w:rPr>
          <w:rFonts w:ascii="Calibri" w:hAnsi="Calibri"/>
          <w:sz w:val="22"/>
          <w:szCs w:val="22"/>
        </w:rPr>
      </w:pPr>
      <w:r>
        <w:rPr>
          <w:rFonts w:ascii="Calibri" w:hAnsi="Calibri"/>
          <w:sz w:val="22"/>
          <w:szCs w:val="22"/>
        </w:rPr>
        <w:t xml:space="preserve">IČ DPH: </w:t>
      </w:r>
      <w:r w:rsidR="001865BB">
        <w:rPr>
          <w:rFonts w:ascii="Calibri" w:hAnsi="Calibri"/>
          <w:sz w:val="22"/>
          <w:szCs w:val="22"/>
        </w:rPr>
        <w:tab/>
      </w:r>
      <w:r w:rsidR="001865BB">
        <w:rPr>
          <w:rFonts w:ascii="Calibri" w:hAnsi="Calibri"/>
          <w:sz w:val="22"/>
          <w:szCs w:val="22"/>
        </w:rPr>
        <w:tab/>
      </w:r>
      <w:r w:rsidR="00D26747">
        <w:rPr>
          <w:rFonts w:ascii="Calibri" w:hAnsi="Calibri"/>
          <w:sz w:val="22"/>
          <w:szCs w:val="22"/>
        </w:rPr>
        <w:t>SK2022185781</w:t>
      </w:r>
      <w:r>
        <w:rPr>
          <w:rFonts w:ascii="Calibri" w:hAnsi="Calibri"/>
          <w:sz w:val="22"/>
          <w:szCs w:val="22"/>
        </w:rPr>
        <w:t xml:space="preserve">        </w:t>
      </w:r>
      <w:r w:rsidR="000739A9" w:rsidRPr="00CA76D1">
        <w:rPr>
          <w:rFonts w:ascii="Calibri" w:hAnsi="Calibri"/>
          <w:sz w:val="22"/>
          <w:szCs w:val="22"/>
        </w:rPr>
        <w:t xml:space="preserve">        </w:t>
      </w:r>
      <w:r w:rsidR="000739A9" w:rsidRPr="00CA76D1">
        <w:rPr>
          <w:rFonts w:ascii="Calibri" w:hAnsi="Calibri"/>
          <w:sz w:val="22"/>
          <w:szCs w:val="22"/>
        </w:rPr>
        <w:tab/>
      </w:r>
      <w:r w:rsidR="00407046" w:rsidRPr="00CA76D1">
        <w:rPr>
          <w:rFonts w:ascii="Calibri" w:hAnsi="Calibri"/>
          <w:sz w:val="22"/>
          <w:szCs w:val="22"/>
        </w:rPr>
        <w:tab/>
      </w:r>
    </w:p>
    <w:p w14:paraId="35FE38D4" w14:textId="44A82F45" w:rsidR="00BD0474" w:rsidRDefault="000739A9" w:rsidP="000739A9">
      <w:pPr>
        <w:jc w:val="both"/>
        <w:rPr>
          <w:rFonts w:ascii="Calibri" w:hAnsi="Calibri"/>
          <w:b/>
          <w:sz w:val="22"/>
          <w:szCs w:val="22"/>
        </w:rPr>
      </w:pPr>
      <w:r w:rsidRPr="00CA76D1">
        <w:rPr>
          <w:rFonts w:ascii="Calibri" w:hAnsi="Calibri"/>
          <w:sz w:val="22"/>
          <w:szCs w:val="22"/>
        </w:rPr>
        <w:t>Bankové spojenie:</w:t>
      </w:r>
      <w:r w:rsidR="00D26747">
        <w:rPr>
          <w:rFonts w:ascii="Calibri" w:hAnsi="Calibri"/>
          <w:sz w:val="22"/>
          <w:szCs w:val="22"/>
        </w:rPr>
        <w:t xml:space="preserve"> </w:t>
      </w:r>
      <w:r w:rsidR="001865BB">
        <w:rPr>
          <w:rFonts w:ascii="Calibri" w:hAnsi="Calibri"/>
          <w:sz w:val="22"/>
          <w:szCs w:val="22"/>
        </w:rPr>
        <w:tab/>
      </w:r>
      <w:r w:rsidR="00157DE8">
        <w:rPr>
          <w:rFonts w:ascii="Calibri" w:hAnsi="Calibri"/>
          <w:sz w:val="22"/>
          <w:szCs w:val="22"/>
        </w:rPr>
        <w:t>ČSOB, a.s. Prešov</w:t>
      </w:r>
      <w:r w:rsidR="00407046" w:rsidRPr="00CA76D1">
        <w:rPr>
          <w:rFonts w:ascii="Calibri" w:hAnsi="Calibri"/>
          <w:sz w:val="22"/>
          <w:szCs w:val="22"/>
        </w:rPr>
        <w:tab/>
      </w:r>
    </w:p>
    <w:p w14:paraId="74D6FE32" w14:textId="7D7BD49E"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00157DE8">
        <w:rPr>
          <w:rFonts w:ascii="Calibri" w:hAnsi="Calibri"/>
          <w:sz w:val="22"/>
          <w:szCs w:val="22"/>
        </w:rPr>
        <w:t xml:space="preserve"> </w:t>
      </w:r>
      <w:r w:rsidR="001865BB">
        <w:rPr>
          <w:rFonts w:ascii="Calibri" w:hAnsi="Calibri"/>
          <w:sz w:val="22"/>
          <w:szCs w:val="22"/>
        </w:rPr>
        <w:tab/>
      </w:r>
      <w:r w:rsidR="001865BB">
        <w:rPr>
          <w:rFonts w:ascii="Calibri" w:hAnsi="Calibri"/>
          <w:sz w:val="22"/>
          <w:szCs w:val="22"/>
        </w:rPr>
        <w:tab/>
      </w:r>
      <w:r w:rsidR="001865BB">
        <w:rPr>
          <w:rFonts w:ascii="Calibri" w:hAnsi="Calibri"/>
          <w:sz w:val="22"/>
          <w:szCs w:val="22"/>
        </w:rPr>
        <w:tab/>
      </w:r>
      <w:r w:rsidR="00157DE8" w:rsidRPr="00157DE8">
        <w:rPr>
          <w:rFonts w:ascii="Calibri" w:hAnsi="Calibri"/>
          <w:sz w:val="22"/>
          <w:szCs w:val="22"/>
        </w:rPr>
        <w:t>SK31 7500 0000 0003 8321 3993</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p>
    <w:p w14:paraId="7235971B" w14:textId="78A11280" w:rsidR="004826F8" w:rsidRPr="0063184E" w:rsidRDefault="000739A9" w:rsidP="00C747F4">
      <w:pPr>
        <w:autoSpaceDE w:val="0"/>
        <w:autoSpaceDN w:val="0"/>
        <w:adjustRightInd w:val="0"/>
        <w:rPr>
          <w:rFonts w:ascii="Calibri" w:hAnsi="Calibri"/>
          <w:b/>
          <w:sz w:val="22"/>
          <w:szCs w:val="22"/>
        </w:rPr>
      </w:pPr>
      <w:r w:rsidRPr="00CA76D1">
        <w:rPr>
          <w:rFonts w:ascii="Calibri" w:hAnsi="Calibri"/>
          <w:sz w:val="22"/>
          <w:szCs w:val="22"/>
        </w:rPr>
        <w:t>zapísaná v</w:t>
      </w:r>
      <w:r w:rsidR="00311C46">
        <w:rPr>
          <w:rFonts w:ascii="Calibri" w:hAnsi="Calibri"/>
          <w:sz w:val="22"/>
          <w:szCs w:val="22"/>
        </w:rPr>
        <w:t> Ob</w:t>
      </w:r>
      <w:r w:rsidR="00157DE8">
        <w:rPr>
          <w:rFonts w:ascii="Calibri" w:hAnsi="Calibri"/>
          <w:sz w:val="22"/>
          <w:szCs w:val="22"/>
        </w:rPr>
        <w:t>chodnom registri Okresného súdu Prešov</w:t>
      </w:r>
      <w:r w:rsidR="00311C46">
        <w:rPr>
          <w:rFonts w:ascii="Calibri" w:hAnsi="Calibri"/>
          <w:sz w:val="22"/>
          <w:szCs w:val="22"/>
        </w:rPr>
        <w:t xml:space="preserve">, Vložka číslo: </w:t>
      </w:r>
      <w:r w:rsidR="00157DE8">
        <w:rPr>
          <w:rFonts w:ascii="Calibri" w:hAnsi="Calibri"/>
          <w:sz w:val="22"/>
          <w:szCs w:val="22"/>
        </w:rPr>
        <w:t>17285/P</w:t>
      </w:r>
      <w:r w:rsidRPr="00CA76D1">
        <w:rPr>
          <w:rFonts w:ascii="Calibri" w:hAnsi="Calibri"/>
          <w:sz w:val="22"/>
          <w:szCs w:val="22"/>
        </w:rPr>
        <w:tab/>
      </w:r>
      <w:r w:rsidR="00407046" w:rsidRPr="00CA76D1">
        <w:rPr>
          <w:rFonts w:ascii="Calibri" w:hAnsi="Calibri"/>
          <w:sz w:val="22"/>
          <w:szCs w:val="22"/>
        </w:rPr>
        <w:tab/>
      </w:r>
    </w:p>
    <w:p w14:paraId="0CF2D9D4" w14:textId="73EF397E"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157DE8">
        <w:rPr>
          <w:rFonts w:ascii="Calibri" w:hAnsi="Calibri"/>
          <w:sz w:val="22"/>
          <w:szCs w:val="22"/>
        </w:rPr>
        <w:t>Ing. Jozef Kráľ</w:t>
      </w:r>
      <w:r w:rsidR="00311C46">
        <w:rPr>
          <w:rFonts w:ascii="Calibri" w:hAnsi="Calibri"/>
          <w:sz w:val="22"/>
          <w:szCs w:val="22"/>
        </w:rPr>
        <w:t>, konateľ spoločnosti</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21E0D33F"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710E49" w:rsidRPr="00216DA3">
        <w:rPr>
          <w:rFonts w:asciiTheme="minorHAnsi" w:hAnsiTheme="minorHAnsi" w:cstheme="minorHAnsi"/>
          <w:b/>
          <w:bCs/>
          <w:sz w:val="22"/>
          <w:szCs w:val="22"/>
        </w:rPr>
        <w:t>„</w:t>
      </w:r>
      <w:r w:rsidR="00216DA3" w:rsidRPr="00216DA3">
        <w:rPr>
          <w:rFonts w:asciiTheme="minorHAnsi" w:eastAsiaTheme="minorHAnsi" w:hAnsiTheme="minorHAnsi" w:cstheme="minorHAnsi"/>
          <w:b/>
          <w:bCs/>
          <w:color w:val="000000"/>
          <w:sz w:val="22"/>
          <w:szCs w:val="22"/>
          <w:lang w:eastAsia="en-US"/>
        </w:rPr>
        <w:t>Laserové popisovacie zariadenie</w:t>
      </w:r>
      <w:r w:rsidR="00710E49" w:rsidRPr="00216DA3">
        <w:rPr>
          <w:rFonts w:asciiTheme="minorHAnsi" w:eastAsiaTheme="minorHAnsi" w:hAnsiTheme="minorHAnsi" w:cstheme="minorHAnsi"/>
          <w:b/>
          <w:bCs/>
          <w:color w:val="000000"/>
          <w:sz w:val="22"/>
          <w:szCs w:val="22"/>
          <w:lang w:eastAsia="en-US"/>
        </w:rPr>
        <w:t>“.</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456779B5" w14:textId="77777777" w:rsidR="00550B83" w:rsidRDefault="00550B83"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2442"/>
        <w:gridCol w:w="1152"/>
        <w:gridCol w:w="4631"/>
      </w:tblGrid>
      <w:tr w:rsidR="0063184E" w:rsidRPr="00282EFE" w14:paraId="1ADFBF86" w14:textId="77777777" w:rsidTr="00710E49">
        <w:trPr>
          <w:trHeight w:val="841"/>
        </w:trPr>
        <w:tc>
          <w:tcPr>
            <w:tcW w:w="315" w:type="pct"/>
            <w:shd w:val="clear" w:color="auto" w:fill="BFBFBF"/>
          </w:tcPr>
          <w:p w14:paraId="44CD1AA8" w14:textId="77777777" w:rsidR="0063184E" w:rsidRPr="0063184E" w:rsidRDefault="0063184E" w:rsidP="00710E49">
            <w:pPr>
              <w:jc w:val="both"/>
              <w:rPr>
                <w:rFonts w:ascii="Calibri" w:hAnsi="Calibri"/>
                <w:bCs/>
                <w:sz w:val="22"/>
                <w:szCs w:val="22"/>
              </w:rPr>
            </w:pPr>
            <w:r w:rsidRPr="0063184E">
              <w:rPr>
                <w:rFonts w:ascii="Calibri" w:hAnsi="Calibri"/>
                <w:bCs/>
                <w:sz w:val="22"/>
                <w:szCs w:val="22"/>
              </w:rPr>
              <w:t>Č.p.</w:t>
            </w:r>
          </w:p>
        </w:tc>
        <w:tc>
          <w:tcPr>
            <w:tcW w:w="1391"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656" w:type="pct"/>
            <w:shd w:val="clear" w:color="auto" w:fill="BFBFBF"/>
          </w:tcPr>
          <w:p w14:paraId="76A49795" w14:textId="77777777" w:rsidR="0063184E" w:rsidRPr="0063184E" w:rsidRDefault="0063184E" w:rsidP="00710E49">
            <w:pPr>
              <w:ind w:left="83"/>
              <w:jc w:val="both"/>
              <w:rPr>
                <w:rFonts w:ascii="Calibri" w:hAnsi="Calibri"/>
                <w:bCs/>
                <w:sz w:val="22"/>
                <w:szCs w:val="22"/>
              </w:rPr>
            </w:pPr>
            <w:r w:rsidRPr="0063184E">
              <w:rPr>
                <w:rFonts w:ascii="Calibri" w:hAnsi="Calibri"/>
                <w:bCs/>
                <w:sz w:val="22"/>
                <w:szCs w:val="22"/>
              </w:rPr>
              <w:t>Množstvo</w:t>
            </w:r>
          </w:p>
        </w:tc>
        <w:tc>
          <w:tcPr>
            <w:tcW w:w="2638" w:type="pct"/>
            <w:shd w:val="clear" w:color="auto" w:fill="BFBFBF"/>
          </w:tcPr>
          <w:p w14:paraId="2358285D" w14:textId="77777777" w:rsidR="0063184E" w:rsidRPr="0063184E" w:rsidRDefault="0063184E" w:rsidP="00710E49">
            <w:pPr>
              <w:ind w:left="171"/>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710E49">
            <w:pPr>
              <w:ind w:left="171"/>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710E49">
        <w:trPr>
          <w:trHeight w:val="957"/>
        </w:trPr>
        <w:tc>
          <w:tcPr>
            <w:tcW w:w="315" w:type="pct"/>
          </w:tcPr>
          <w:p w14:paraId="14C34130" w14:textId="7EFDC30B" w:rsidR="00550B83" w:rsidRPr="0063184E" w:rsidRDefault="00710E49" w:rsidP="0063184E">
            <w:pPr>
              <w:tabs>
                <w:tab w:val="left" w:pos="720"/>
              </w:tabs>
              <w:jc w:val="both"/>
              <w:rPr>
                <w:rFonts w:ascii="Calibri" w:hAnsi="Calibri"/>
                <w:bCs/>
                <w:sz w:val="22"/>
                <w:szCs w:val="22"/>
              </w:rPr>
            </w:pPr>
            <w:r>
              <w:rPr>
                <w:rFonts w:ascii="Calibri" w:hAnsi="Calibri"/>
                <w:bCs/>
                <w:sz w:val="22"/>
                <w:szCs w:val="22"/>
              </w:rPr>
              <w:t>1.</w:t>
            </w:r>
          </w:p>
        </w:tc>
        <w:tc>
          <w:tcPr>
            <w:tcW w:w="1391" w:type="pct"/>
          </w:tcPr>
          <w:p w14:paraId="21A8892F" w14:textId="2AD96E51" w:rsidR="0063184E" w:rsidRPr="0063184E" w:rsidRDefault="00710E49" w:rsidP="0063184E">
            <w:pPr>
              <w:tabs>
                <w:tab w:val="left" w:pos="720"/>
              </w:tabs>
              <w:jc w:val="both"/>
              <w:rPr>
                <w:rFonts w:ascii="Calibri" w:hAnsi="Calibri"/>
                <w:bCs/>
                <w:sz w:val="22"/>
                <w:szCs w:val="22"/>
              </w:rPr>
            </w:pPr>
            <w:r w:rsidRPr="00710E49">
              <w:rPr>
                <w:rFonts w:asciiTheme="minorHAnsi" w:hAnsiTheme="minorHAnsi" w:cstheme="minorHAnsi"/>
                <w:b/>
                <w:bCs/>
                <w:sz w:val="22"/>
                <w:szCs w:val="22"/>
              </w:rPr>
              <w:t>„</w:t>
            </w:r>
            <w:r w:rsidR="00216DA3" w:rsidRPr="00216DA3">
              <w:rPr>
                <w:rFonts w:asciiTheme="minorHAnsi" w:eastAsiaTheme="minorHAnsi" w:hAnsiTheme="minorHAnsi" w:cstheme="minorHAnsi"/>
                <w:b/>
                <w:bCs/>
                <w:color w:val="000000"/>
                <w:sz w:val="22"/>
                <w:szCs w:val="22"/>
                <w:lang w:eastAsia="en-US"/>
              </w:rPr>
              <w:t>Laserové popisovacie zariadenie</w:t>
            </w:r>
            <w:r w:rsidRPr="00710E49">
              <w:rPr>
                <w:rFonts w:asciiTheme="minorHAnsi" w:eastAsiaTheme="minorHAnsi" w:hAnsiTheme="minorHAnsi" w:cstheme="minorHAnsi"/>
                <w:b/>
                <w:bCs/>
                <w:color w:val="000000"/>
                <w:sz w:val="22"/>
                <w:szCs w:val="22"/>
                <w:lang w:eastAsia="en-US"/>
              </w:rPr>
              <w:t>“.</w:t>
            </w:r>
          </w:p>
        </w:tc>
        <w:tc>
          <w:tcPr>
            <w:tcW w:w="656" w:type="pct"/>
          </w:tcPr>
          <w:p w14:paraId="59A39322" w14:textId="77777777" w:rsidR="0063184E" w:rsidRPr="0063184E" w:rsidRDefault="0063184E" w:rsidP="00710E49">
            <w:pPr>
              <w:ind w:left="83"/>
              <w:jc w:val="both"/>
              <w:rPr>
                <w:rFonts w:ascii="Calibri" w:hAnsi="Calibri"/>
                <w:bCs/>
                <w:sz w:val="22"/>
                <w:szCs w:val="22"/>
              </w:rPr>
            </w:pPr>
            <w:r w:rsidRPr="0063184E">
              <w:rPr>
                <w:rFonts w:ascii="Calibri" w:hAnsi="Calibri"/>
                <w:bCs/>
                <w:sz w:val="22"/>
                <w:szCs w:val="22"/>
              </w:rPr>
              <w:t>1 ks</w:t>
            </w:r>
          </w:p>
        </w:tc>
        <w:tc>
          <w:tcPr>
            <w:tcW w:w="2638"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47C6572" w14:textId="20118ACA" w:rsidR="00710E49" w:rsidRPr="00710E49" w:rsidRDefault="001F1467" w:rsidP="00710E49">
      <w:pPr>
        <w:numPr>
          <w:ilvl w:val="1"/>
          <w:numId w:val="16"/>
        </w:numPr>
        <w:ind w:left="709" w:hanging="709"/>
        <w:jc w:val="both"/>
        <w:rPr>
          <w:rFonts w:asciiTheme="minorHAnsi" w:hAnsiTheme="minorHAnsi" w:cstheme="minorHAnsi"/>
          <w:b/>
          <w:bCs/>
          <w:sz w:val="22"/>
          <w:szCs w:val="22"/>
        </w:rPr>
      </w:pPr>
      <w:bookmarkStart w:id="2" w:name="_Ref158395892"/>
      <w:r w:rsidRPr="00110C2A">
        <w:rPr>
          <w:rFonts w:ascii="Calibri" w:hAnsi="Calibri"/>
          <w:bCs/>
          <w:sz w:val="22"/>
          <w:szCs w:val="22"/>
        </w:rPr>
        <w:t xml:space="preserve">Miestom dodania tovaru podľa tejto </w:t>
      </w:r>
      <w:r w:rsidRPr="00710E49">
        <w:rPr>
          <w:rFonts w:asciiTheme="minorHAnsi" w:hAnsiTheme="minorHAnsi" w:cstheme="minorHAnsi"/>
          <w:bCs/>
          <w:sz w:val="22"/>
          <w:szCs w:val="22"/>
        </w:rPr>
        <w:t>zmluvy</w:t>
      </w:r>
      <w:r w:rsidR="00311C46" w:rsidRPr="00710E49">
        <w:rPr>
          <w:rFonts w:asciiTheme="minorHAnsi" w:hAnsiTheme="minorHAnsi" w:cstheme="minorHAnsi"/>
          <w:bCs/>
          <w:sz w:val="22"/>
          <w:szCs w:val="22"/>
        </w:rPr>
        <w:t xml:space="preserve"> je</w:t>
      </w:r>
      <w:r w:rsidR="00A409B6" w:rsidRPr="00710E49">
        <w:rPr>
          <w:rFonts w:asciiTheme="minorHAnsi" w:hAnsiTheme="minorHAnsi" w:cstheme="minorHAnsi"/>
          <w:bCs/>
          <w:sz w:val="22"/>
          <w:szCs w:val="22"/>
        </w:rPr>
        <w:t xml:space="preserve"> </w:t>
      </w:r>
      <w:bookmarkEnd w:id="2"/>
      <w:r w:rsidR="00710E49" w:rsidRPr="00710E49">
        <w:rPr>
          <w:rFonts w:asciiTheme="minorHAnsi" w:hAnsiTheme="minorHAnsi" w:cstheme="minorHAnsi"/>
          <w:b/>
          <w:bCs/>
          <w:color w:val="000000"/>
          <w:sz w:val="22"/>
          <w:szCs w:val="22"/>
        </w:rPr>
        <w:t>K Surdoku 5/A, 080 01 Prešov, Slovensko.</w:t>
      </w:r>
    </w:p>
    <w:p w14:paraId="47B048B8" w14:textId="77777777" w:rsidR="00110C2A" w:rsidRPr="00710E49" w:rsidRDefault="00110C2A" w:rsidP="00110C2A">
      <w:pPr>
        <w:ind w:left="709"/>
        <w:jc w:val="both"/>
        <w:rPr>
          <w:rFonts w:asciiTheme="minorHAnsi" w:hAnsiTheme="minorHAnsi" w:cstheme="minorHAnsi"/>
          <w:b/>
          <w:bCs/>
          <w:sz w:val="22"/>
          <w:szCs w:val="22"/>
        </w:rPr>
      </w:pPr>
    </w:p>
    <w:p w14:paraId="50E29EDF" w14:textId="21461753"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FE4A1F">
        <w:rPr>
          <w:rFonts w:ascii="Calibri" w:hAnsi="Calibri"/>
          <w:b/>
          <w:sz w:val="22"/>
          <w:szCs w:val="22"/>
        </w:rPr>
        <w:t>50 dní</w:t>
      </w:r>
      <w:r w:rsidR="00DB5DA8">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12106161"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 xml:space="preserve">Na základe dohody zmluvných strán sa na dodaný tovar vzťahuje záruka so záručnou dobou </w:t>
      </w:r>
      <w:r w:rsidR="00DB5DA8">
        <w:rPr>
          <w:rFonts w:ascii="Calibri" w:hAnsi="Calibri"/>
          <w:sz w:val="22"/>
          <w:szCs w:val="22"/>
        </w:rPr>
        <w:t>12</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3" w:name="_Ref160512027"/>
      <w:bookmarkStart w:id="4"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72ABF65F" w14:textId="03B1C18F" w:rsidR="001E096D" w:rsidRDefault="001E096D" w:rsidP="001E096D">
      <w:pPr>
        <w:ind w:left="709"/>
        <w:jc w:val="both"/>
        <w:rPr>
          <w:rFonts w:ascii="Calibri" w:hAnsi="Calibri"/>
          <w:sz w:val="22"/>
          <w:szCs w:val="22"/>
        </w:rPr>
      </w:pPr>
    </w:p>
    <w:p w14:paraId="555B429F" w14:textId="2917A607" w:rsidR="0071409E" w:rsidRDefault="0071409E" w:rsidP="001E096D">
      <w:pPr>
        <w:ind w:left="709"/>
        <w:jc w:val="both"/>
        <w:rPr>
          <w:rFonts w:ascii="Calibri" w:hAnsi="Calibri"/>
          <w:sz w:val="22"/>
          <w:szCs w:val="22"/>
        </w:rPr>
      </w:pPr>
    </w:p>
    <w:p w14:paraId="0B493356" w14:textId="77777777" w:rsidR="0071409E" w:rsidRDefault="0071409E"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3"/>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5" w:name="_Ref158396556"/>
      <w:bookmarkEnd w:id="4"/>
    </w:p>
    <w:bookmarkEnd w:id="5"/>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Cena bez DPH v EUR: ..................,- slovom: .................................................................... EUR</w:t>
      </w:r>
    </w:p>
    <w:p w14:paraId="7A91D9D7"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DPH......% v EUR:        ..................,- slovom:  ....................................................................EUR</w:t>
      </w:r>
    </w:p>
    <w:p w14:paraId="485F0D9B" w14:textId="77777777" w:rsidR="00D430E0" w:rsidRDefault="00D430E0" w:rsidP="00D430E0">
      <w:pPr>
        <w:ind w:left="709"/>
        <w:jc w:val="both"/>
        <w:rPr>
          <w:rFonts w:ascii="Calibri" w:hAnsi="Calibri"/>
          <w:sz w:val="22"/>
          <w:szCs w:val="22"/>
        </w:rPr>
      </w:pPr>
      <w:r w:rsidRPr="00E26460">
        <w:rPr>
          <w:rFonts w:ascii="Calibri" w:hAnsi="Calibri"/>
          <w:sz w:val="22"/>
          <w:szCs w:val="22"/>
          <w:highlight w:val="lightGray"/>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4FD7E6B1" w:rsidR="00D430E0" w:rsidRDefault="00D430E0" w:rsidP="0071409E">
      <w:pPr>
        <w:jc w:val="both"/>
        <w:rPr>
          <w:rFonts w:ascii="Calibri" w:hAnsi="Calibri"/>
          <w:sz w:val="22"/>
          <w:szCs w:val="22"/>
        </w:rPr>
      </w:pPr>
    </w:p>
    <w:p w14:paraId="28BA072B" w14:textId="77777777" w:rsidR="0071409E" w:rsidRDefault="0071409E" w:rsidP="0071409E">
      <w:pPr>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3102243E" w14:textId="49383492" w:rsidR="00142120" w:rsidRPr="00710E49" w:rsidRDefault="001F1467" w:rsidP="00710E49">
      <w:pPr>
        <w:numPr>
          <w:ilvl w:val="1"/>
          <w:numId w:val="20"/>
        </w:numPr>
        <w:ind w:left="709" w:hanging="709"/>
        <w:jc w:val="both"/>
        <w:rPr>
          <w:rFonts w:asciiTheme="minorHAnsi" w:hAnsiTheme="minorHAnsi" w:cstheme="minorHAnsi"/>
          <w:bCs/>
          <w:sz w:val="22"/>
          <w:szCs w:val="22"/>
        </w:rPr>
      </w:pPr>
      <w:r w:rsidRPr="00CA76D1">
        <w:rPr>
          <w:rFonts w:ascii="Calibri" w:hAnsi="Calibri"/>
          <w:color w:val="000000"/>
          <w:sz w:val="22"/>
          <w:szCs w:val="22"/>
        </w:rPr>
        <w:t xml:space="preserve">Pre </w:t>
      </w:r>
      <w:r w:rsidRPr="00710E49">
        <w:rPr>
          <w:rFonts w:asciiTheme="minorHAnsi" w:hAnsiTheme="minorHAnsi" w:cstheme="minorHAnsi"/>
          <w:b/>
          <w:color w:val="000000"/>
          <w:sz w:val="22"/>
          <w:szCs w:val="22"/>
        </w:rPr>
        <w:t xml:space="preserve">kupujúceho </w:t>
      </w:r>
      <w:r w:rsidRPr="00710E49">
        <w:rPr>
          <w:rFonts w:asciiTheme="minorHAnsi" w:hAnsiTheme="minorHAnsi" w:cstheme="minorHAnsi"/>
          <w:color w:val="000000"/>
          <w:sz w:val="22"/>
          <w:szCs w:val="22"/>
        </w:rPr>
        <w:t>budú všetky oznámenia doručované alebo oznamované na nižšie uvedené údaje:</w:t>
      </w:r>
    </w:p>
    <w:p w14:paraId="3A352196" w14:textId="1C559D18" w:rsidR="001F1467" w:rsidRPr="00710E49" w:rsidRDefault="001F1467" w:rsidP="00710E49">
      <w:pPr>
        <w:ind w:firstLine="708"/>
        <w:jc w:val="both"/>
        <w:rPr>
          <w:rStyle w:val="ra"/>
          <w:rFonts w:asciiTheme="minorHAnsi" w:hAnsiTheme="minorHAnsi" w:cstheme="minorHAnsi"/>
          <w:b/>
          <w:sz w:val="22"/>
          <w:szCs w:val="22"/>
        </w:rPr>
      </w:pPr>
      <w:r w:rsidRPr="00710E49">
        <w:rPr>
          <w:rFonts w:asciiTheme="minorHAnsi" w:hAnsiTheme="minorHAnsi" w:cstheme="minorHAnsi"/>
          <w:color w:val="000000"/>
          <w:sz w:val="22"/>
          <w:szCs w:val="22"/>
        </w:rPr>
        <w:t xml:space="preserve">adresa: </w:t>
      </w:r>
      <w:r w:rsidRPr="00710E49">
        <w:rPr>
          <w:rFonts w:asciiTheme="minorHAnsi" w:hAnsiTheme="minorHAnsi" w:cstheme="minorHAnsi"/>
          <w:color w:val="000000"/>
          <w:sz w:val="22"/>
          <w:szCs w:val="22"/>
        </w:rPr>
        <w:tab/>
      </w:r>
      <w:r w:rsidRPr="00710E49">
        <w:rPr>
          <w:rFonts w:asciiTheme="minorHAnsi" w:hAnsiTheme="minorHAnsi" w:cstheme="minorHAnsi"/>
          <w:color w:val="000000"/>
          <w:sz w:val="22"/>
          <w:szCs w:val="22"/>
        </w:rPr>
        <w:tab/>
      </w:r>
      <w:r w:rsidR="00710E49" w:rsidRPr="00710E49">
        <w:rPr>
          <w:rFonts w:asciiTheme="minorHAnsi" w:hAnsiTheme="minorHAnsi" w:cstheme="minorHAnsi"/>
          <w:color w:val="000000"/>
          <w:sz w:val="22"/>
          <w:szCs w:val="22"/>
        </w:rPr>
        <w:tab/>
      </w:r>
      <w:r w:rsidR="00710E49" w:rsidRPr="00710E49">
        <w:rPr>
          <w:rFonts w:asciiTheme="minorHAnsi" w:hAnsiTheme="minorHAnsi" w:cstheme="minorHAnsi"/>
          <w:bCs/>
          <w:sz w:val="22"/>
          <w:szCs w:val="22"/>
        </w:rPr>
        <w:t xml:space="preserve">KMS-PT, s.r.o., </w:t>
      </w:r>
      <w:r w:rsidR="00710E49" w:rsidRPr="00710E49">
        <w:rPr>
          <w:rFonts w:asciiTheme="minorHAnsi" w:hAnsiTheme="minorHAnsi" w:cstheme="minorHAnsi"/>
          <w:bCs/>
          <w:color w:val="000000"/>
          <w:sz w:val="22"/>
          <w:szCs w:val="22"/>
        </w:rPr>
        <w:t>K Surdoku 5/A, 080 01 Prešov, Slovensko</w:t>
      </w:r>
      <w:r w:rsidRPr="00710E49">
        <w:rPr>
          <w:rStyle w:val="ra"/>
          <w:rFonts w:asciiTheme="minorHAnsi" w:hAnsiTheme="minorHAnsi" w:cstheme="minorHAnsi"/>
          <w:sz w:val="22"/>
          <w:szCs w:val="22"/>
        </w:rPr>
        <w:t xml:space="preserve"> </w:t>
      </w:r>
    </w:p>
    <w:p w14:paraId="235640C6" w14:textId="1C4A6E56" w:rsidR="001F1467" w:rsidRPr="00710E49" w:rsidRDefault="001F1467" w:rsidP="00A32235">
      <w:pPr>
        <w:ind w:firstLine="708"/>
        <w:jc w:val="both"/>
        <w:rPr>
          <w:rFonts w:asciiTheme="minorHAnsi" w:hAnsiTheme="minorHAnsi" w:cstheme="minorHAnsi"/>
          <w:sz w:val="22"/>
          <w:szCs w:val="22"/>
        </w:rPr>
      </w:pPr>
      <w:r w:rsidRPr="00710E49">
        <w:rPr>
          <w:rFonts w:asciiTheme="minorHAnsi" w:hAnsiTheme="minorHAnsi" w:cstheme="minorHAnsi"/>
          <w:sz w:val="22"/>
          <w:szCs w:val="22"/>
        </w:rPr>
        <w:t>kontaktné osoby:</w:t>
      </w:r>
      <w:r w:rsidRPr="00710E49">
        <w:rPr>
          <w:rFonts w:asciiTheme="minorHAnsi" w:hAnsiTheme="minorHAnsi" w:cstheme="minorHAnsi"/>
          <w:sz w:val="22"/>
          <w:szCs w:val="22"/>
        </w:rPr>
        <w:tab/>
      </w:r>
      <w:r w:rsidR="00710E49" w:rsidRPr="00710E49">
        <w:rPr>
          <w:rFonts w:asciiTheme="minorHAnsi" w:hAnsiTheme="minorHAnsi" w:cstheme="minorHAnsi"/>
          <w:sz w:val="22"/>
          <w:szCs w:val="22"/>
        </w:rPr>
        <w:t>Ing. Jozef Kráľ</w:t>
      </w:r>
    </w:p>
    <w:p w14:paraId="48CBFB9E" w14:textId="49A5ECF8" w:rsidR="007876F2" w:rsidRPr="00710E49" w:rsidRDefault="001F1467" w:rsidP="00710E49">
      <w:pPr>
        <w:ind w:left="2125" w:firstLine="707"/>
        <w:jc w:val="both"/>
        <w:rPr>
          <w:rFonts w:asciiTheme="minorHAnsi" w:hAnsiTheme="minorHAnsi" w:cstheme="minorHAnsi"/>
          <w:sz w:val="22"/>
          <w:szCs w:val="22"/>
        </w:rPr>
      </w:pPr>
      <w:r w:rsidRPr="00710E49">
        <w:rPr>
          <w:rFonts w:asciiTheme="minorHAnsi" w:hAnsiTheme="minorHAnsi" w:cstheme="minorHAnsi"/>
          <w:sz w:val="22"/>
          <w:szCs w:val="22"/>
        </w:rPr>
        <w:t>e-mail:</w:t>
      </w:r>
      <w:r w:rsidR="00E26460" w:rsidRPr="00710E49">
        <w:rPr>
          <w:rFonts w:asciiTheme="minorHAnsi" w:hAnsiTheme="minorHAnsi" w:cstheme="minorHAnsi"/>
          <w:sz w:val="22"/>
          <w:szCs w:val="22"/>
        </w:rPr>
        <w:t xml:space="preserve"> </w:t>
      </w:r>
      <w:hyperlink r:id="rId8" w:history="1">
        <w:r w:rsidR="00710E49" w:rsidRPr="00710E49">
          <w:rPr>
            <w:rStyle w:val="Hypertextovprepojenie"/>
            <w:rFonts w:asciiTheme="minorHAnsi" w:hAnsiTheme="minorHAnsi" w:cstheme="minorHAnsi"/>
            <w:sz w:val="22"/>
            <w:szCs w:val="22"/>
          </w:rPr>
          <w:t>kral@kms-pt.sk</w:t>
        </w:r>
      </w:hyperlink>
    </w:p>
    <w:p w14:paraId="60AB127A" w14:textId="77777777" w:rsidR="00710E49" w:rsidRPr="00CA76D1" w:rsidRDefault="00710E49" w:rsidP="00710E49">
      <w:pPr>
        <w:ind w:left="2125" w:firstLine="707"/>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E26460" w:rsidRDefault="000739A9" w:rsidP="00A32235">
      <w:pPr>
        <w:ind w:firstLine="708"/>
        <w:jc w:val="both"/>
        <w:rPr>
          <w:rFonts w:ascii="Calibri" w:hAnsi="Calibri"/>
          <w:sz w:val="22"/>
          <w:szCs w:val="22"/>
          <w:highlight w:val="lightGray"/>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sidRPr="00E26460">
        <w:rPr>
          <w:rFonts w:ascii="Calibri" w:hAnsi="Calibri"/>
          <w:sz w:val="22"/>
          <w:szCs w:val="22"/>
          <w:highlight w:val="lightGray"/>
        </w:rPr>
        <w:t>______</w:t>
      </w:r>
    </w:p>
    <w:p w14:paraId="0BEF18EF" w14:textId="77777777" w:rsidR="00513579" w:rsidRPr="00E26460" w:rsidRDefault="000739A9" w:rsidP="00513579">
      <w:pPr>
        <w:ind w:firstLine="708"/>
        <w:jc w:val="both"/>
        <w:rPr>
          <w:rFonts w:ascii="Calibri" w:hAnsi="Calibri"/>
          <w:sz w:val="22"/>
          <w:szCs w:val="22"/>
          <w:highlight w:val="lightGray"/>
        </w:rPr>
      </w:pPr>
      <w:r w:rsidRPr="00E26460">
        <w:rPr>
          <w:rFonts w:ascii="Calibri" w:hAnsi="Calibri"/>
          <w:sz w:val="22"/>
          <w:szCs w:val="22"/>
          <w:highlight w:val="lightGray"/>
        </w:rPr>
        <w:t>kontaktné osoby:</w:t>
      </w:r>
      <w:r w:rsidRPr="00E26460">
        <w:rPr>
          <w:rFonts w:ascii="Calibri" w:hAnsi="Calibri"/>
          <w:sz w:val="22"/>
          <w:szCs w:val="22"/>
          <w:highlight w:val="lightGray"/>
        </w:rPr>
        <w:tab/>
      </w:r>
      <w:r w:rsidR="00513579" w:rsidRPr="00E26460">
        <w:rPr>
          <w:rFonts w:ascii="Calibri" w:hAnsi="Calibri"/>
          <w:sz w:val="22"/>
          <w:szCs w:val="22"/>
          <w:highlight w:val="lightGray"/>
        </w:rPr>
        <w:t>_______</w:t>
      </w:r>
    </w:p>
    <w:p w14:paraId="6E9C4105" w14:textId="77777777" w:rsidR="00513579" w:rsidRPr="00E26460" w:rsidRDefault="00513579" w:rsidP="00513579">
      <w:pPr>
        <w:ind w:left="2125" w:firstLine="707"/>
        <w:jc w:val="both"/>
        <w:rPr>
          <w:rFonts w:ascii="Calibri" w:hAnsi="Calibri"/>
          <w:sz w:val="22"/>
          <w:szCs w:val="22"/>
          <w:highlight w:val="lightGray"/>
        </w:rPr>
      </w:pPr>
      <w:r w:rsidRPr="00E26460">
        <w:rPr>
          <w:rFonts w:ascii="Calibri" w:hAnsi="Calibri"/>
          <w:sz w:val="22"/>
          <w:szCs w:val="22"/>
          <w:highlight w:val="lightGray"/>
        </w:rPr>
        <w:t xml:space="preserve">tel.: ______ fax: _____, </w:t>
      </w:r>
    </w:p>
    <w:p w14:paraId="7B773F7E" w14:textId="77777777" w:rsidR="00513579" w:rsidRPr="00CA76D1" w:rsidRDefault="00513579" w:rsidP="00513579">
      <w:pPr>
        <w:ind w:left="2125" w:firstLine="707"/>
        <w:jc w:val="both"/>
        <w:rPr>
          <w:rFonts w:ascii="Calibri" w:hAnsi="Calibri"/>
          <w:sz w:val="22"/>
          <w:szCs w:val="22"/>
        </w:rPr>
      </w:pPr>
      <w:r w:rsidRPr="00E26460">
        <w:rPr>
          <w:rFonts w:ascii="Calibri" w:hAnsi="Calibri"/>
          <w:sz w:val="22"/>
          <w:szCs w:val="22"/>
          <w:highlight w:val="lightGray"/>
        </w:rPr>
        <w:t>e-mail: 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6AB457CE" w:rsidR="001F1467" w:rsidRPr="0071409E"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23996C2E" w14:textId="77777777" w:rsidR="0071409E" w:rsidRPr="00CA76D1" w:rsidRDefault="0071409E" w:rsidP="0071409E">
      <w:pPr>
        <w:ind w:left="709"/>
        <w:jc w:val="both"/>
        <w:rPr>
          <w:rFonts w:ascii="Calibri" w:hAnsi="Calibri"/>
          <w:bCs/>
          <w:sz w:val="22"/>
          <w:szCs w:val="22"/>
        </w:rPr>
      </w:pP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6D94155C" w14:textId="3AE02FDE" w:rsidR="00323152" w:rsidRDefault="00D430E0" w:rsidP="00323152">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2006C5DA" w14:textId="77777777" w:rsidR="0071409E" w:rsidRDefault="0071409E" w:rsidP="0071409E">
      <w:pPr>
        <w:pStyle w:val="Odsekzoznamu"/>
      </w:pPr>
    </w:p>
    <w:p w14:paraId="45992AAB" w14:textId="77777777" w:rsidR="0071409E" w:rsidRDefault="0071409E" w:rsidP="0071409E">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3BD7A5E4" w:rsidR="00D430E0" w:rsidRPr="00BB34CB" w:rsidRDefault="001F1467" w:rsidP="00BB34CB">
      <w:pPr>
        <w:pStyle w:val="Odsekzoznamu"/>
        <w:numPr>
          <w:ilvl w:val="1"/>
          <w:numId w:val="33"/>
        </w:numPr>
        <w:ind w:hanging="768"/>
        <w:jc w:val="both"/>
        <w:rPr>
          <w:bCs/>
        </w:rPr>
      </w:pPr>
      <w:r w:rsidRPr="00BB34CB">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BB34CB">
      <w:pPr>
        <w:numPr>
          <w:ilvl w:val="1"/>
          <w:numId w:val="33"/>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BB34CB">
      <w:pPr>
        <w:numPr>
          <w:ilvl w:val="1"/>
          <w:numId w:val="33"/>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2C62A410" w:rsidR="00D430E0" w:rsidRPr="00D430E0" w:rsidRDefault="00DB5DA8" w:rsidP="00BB34CB">
      <w:pPr>
        <w:numPr>
          <w:ilvl w:val="1"/>
          <w:numId w:val="33"/>
        </w:numPr>
        <w:ind w:left="709" w:hanging="709"/>
        <w:jc w:val="both"/>
        <w:textAlignment w:val="baseline"/>
        <w:rPr>
          <w:rFonts w:ascii="Calibri" w:hAnsi="Calibri" w:cs="Calibri"/>
          <w:color w:val="000000"/>
          <w:sz w:val="22"/>
          <w:szCs w:val="22"/>
        </w:rPr>
      </w:pPr>
      <w:r w:rsidRPr="00DB5DA8">
        <w:rPr>
          <w:rFonts w:ascii="Calibri" w:hAnsi="Calibri" w:cs="Calibri"/>
          <w:color w:val="000000"/>
          <w:sz w:val="22"/>
          <w:szCs w:val="22"/>
        </w:rPr>
        <w:t>Táto zmluva nadobúda platnosť dňom jej podpisu oboma zmluvnými stranami a účinnosť dňom nasledujúcim po dni jej zverejnenia na webovom sídle objednávateľa po splnení odkladacej podmienky, ktorá spočíva v tom, že dôjde k uzatvoreniu platnej a účinnej Zmluvy o poskytnutí nenávratného finančného príspevku medzi príslušným poskytovateľom pomoci, a príjemcom pomoci, ktorým je verejný obstarávateľ a to na základe jeho Žiadosti o poskytnutie nenávratného finančného príspevku predloženej v rámci Výzvy na predkladanie žiadostí o nenávratný finančný príspevok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BB34CB">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BB34CB">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BB34CB">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BB34CB">
      <w:pPr>
        <w:numPr>
          <w:ilvl w:val="1"/>
          <w:numId w:val="33"/>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BB34CB">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BB34CB">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353F3D5A"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5B9FB98A"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545043A7"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0A44D4E4"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7DC3EEF1"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3EA73BC1"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57E2F88C"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16FCB7C7"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75315116"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32C87336"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34A438AA"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023F830B"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74E98616"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066DFA7D"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616F11F1"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6FCC7C70"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202C6A38"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3ABF0CA7"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38272B94"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3FF73F06"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3E355CB8"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5AE8D526"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642F551E"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0D0B8FD2"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03269562"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25F519F3"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30D58986"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0D5E50D2"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5994D5C9"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0036F640"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06FA9C2A"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28D027A8"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6CEB5764"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451E378A"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0A209A44"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43A15338"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3A102C53"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0E4A5FC0" w14:textId="77777777" w:rsidR="0071409E" w:rsidRDefault="0071409E" w:rsidP="00D430E0">
      <w:pPr>
        <w:shd w:val="clear" w:color="auto" w:fill="FFFFFF"/>
        <w:spacing w:line="280" w:lineRule="atLeast"/>
        <w:ind w:left="720" w:right="66"/>
        <w:jc w:val="right"/>
        <w:rPr>
          <w:rFonts w:ascii="Calibri" w:hAnsi="Calibri" w:cs="Calibri"/>
          <w:sz w:val="22"/>
          <w:szCs w:val="22"/>
        </w:rPr>
      </w:pPr>
    </w:p>
    <w:p w14:paraId="3B30BB2F" w14:textId="56481420"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A5BD2" w14:textId="77777777" w:rsidR="001005C8" w:rsidRDefault="001005C8" w:rsidP="007717A9">
      <w:r>
        <w:separator/>
      </w:r>
    </w:p>
  </w:endnote>
  <w:endnote w:type="continuationSeparator" w:id="0">
    <w:p w14:paraId="3F5B58A9" w14:textId="77777777" w:rsidR="001005C8" w:rsidRDefault="001005C8"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505A08">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095BA" w14:textId="77777777" w:rsidR="001005C8" w:rsidRDefault="001005C8" w:rsidP="007717A9">
      <w:r>
        <w:separator/>
      </w:r>
    </w:p>
  </w:footnote>
  <w:footnote w:type="continuationSeparator" w:id="0">
    <w:p w14:paraId="7014590C" w14:textId="77777777" w:rsidR="001005C8" w:rsidRDefault="001005C8"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15:restartNumberingAfterBreak="0">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0341AC"/>
    <w:multiLevelType w:val="multilevel"/>
    <w:tmpl w:val="2A08C556"/>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20" w15:restartNumberingAfterBreak="0">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1"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4"/>
  </w:num>
  <w:num w:numId="10">
    <w:abstractNumId w:val="23"/>
  </w:num>
  <w:num w:numId="11">
    <w:abstractNumId w:val="26"/>
  </w:num>
  <w:num w:numId="12">
    <w:abstractNumId w:val="2"/>
  </w:num>
  <w:num w:numId="13">
    <w:abstractNumId w:val="15"/>
  </w:num>
  <w:num w:numId="14">
    <w:abstractNumId w:val="14"/>
  </w:num>
  <w:num w:numId="15">
    <w:abstractNumId w:val="21"/>
  </w:num>
  <w:num w:numId="16">
    <w:abstractNumId w:val="20"/>
  </w:num>
  <w:num w:numId="17">
    <w:abstractNumId w:val="9"/>
  </w:num>
  <w:num w:numId="18">
    <w:abstractNumId w:val="27"/>
  </w:num>
  <w:num w:numId="19">
    <w:abstractNumId w:val="18"/>
  </w:num>
  <w:num w:numId="20">
    <w:abstractNumId w:val="16"/>
  </w:num>
  <w:num w:numId="21">
    <w:abstractNumId w:val="17"/>
  </w:num>
  <w:num w:numId="22">
    <w:abstractNumId w:val="17"/>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2"/>
  </w:num>
  <w:num w:numId="32">
    <w:abstractNumId w:val="1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35E33"/>
    <w:rsid w:val="00040ED9"/>
    <w:rsid w:val="000442B8"/>
    <w:rsid w:val="000478DE"/>
    <w:rsid w:val="000739A9"/>
    <w:rsid w:val="0008785B"/>
    <w:rsid w:val="00087D8F"/>
    <w:rsid w:val="000936F6"/>
    <w:rsid w:val="000C5E1C"/>
    <w:rsid w:val="000D0072"/>
    <w:rsid w:val="000D0A84"/>
    <w:rsid w:val="000D3E97"/>
    <w:rsid w:val="001005C8"/>
    <w:rsid w:val="00110C2A"/>
    <w:rsid w:val="0011296B"/>
    <w:rsid w:val="00115477"/>
    <w:rsid w:val="00122AFF"/>
    <w:rsid w:val="00137541"/>
    <w:rsid w:val="00142120"/>
    <w:rsid w:val="00146C16"/>
    <w:rsid w:val="00146F2C"/>
    <w:rsid w:val="00151BFD"/>
    <w:rsid w:val="00157DE8"/>
    <w:rsid w:val="0016218B"/>
    <w:rsid w:val="0017263F"/>
    <w:rsid w:val="00177FC0"/>
    <w:rsid w:val="00182538"/>
    <w:rsid w:val="00182D5E"/>
    <w:rsid w:val="001865BB"/>
    <w:rsid w:val="001A4A7D"/>
    <w:rsid w:val="001C5274"/>
    <w:rsid w:val="001E096D"/>
    <w:rsid w:val="001E198D"/>
    <w:rsid w:val="001E33F8"/>
    <w:rsid w:val="001F1467"/>
    <w:rsid w:val="001F5783"/>
    <w:rsid w:val="002131BA"/>
    <w:rsid w:val="00216DA3"/>
    <w:rsid w:val="00253238"/>
    <w:rsid w:val="00283457"/>
    <w:rsid w:val="00295FE9"/>
    <w:rsid w:val="00296AA6"/>
    <w:rsid w:val="002B58FD"/>
    <w:rsid w:val="002F7848"/>
    <w:rsid w:val="00302C58"/>
    <w:rsid w:val="00306B1E"/>
    <w:rsid w:val="00311C46"/>
    <w:rsid w:val="003130F4"/>
    <w:rsid w:val="00323152"/>
    <w:rsid w:val="0033157F"/>
    <w:rsid w:val="003340BE"/>
    <w:rsid w:val="003620FF"/>
    <w:rsid w:val="00364276"/>
    <w:rsid w:val="00372209"/>
    <w:rsid w:val="00372619"/>
    <w:rsid w:val="003776F0"/>
    <w:rsid w:val="00392EAB"/>
    <w:rsid w:val="003A484C"/>
    <w:rsid w:val="003B7DCD"/>
    <w:rsid w:val="003C4CFA"/>
    <w:rsid w:val="003D0008"/>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505A08"/>
    <w:rsid w:val="005111C4"/>
    <w:rsid w:val="00511D2D"/>
    <w:rsid w:val="00513579"/>
    <w:rsid w:val="005141FC"/>
    <w:rsid w:val="00516BDB"/>
    <w:rsid w:val="0052306F"/>
    <w:rsid w:val="0052418D"/>
    <w:rsid w:val="0053375D"/>
    <w:rsid w:val="00533979"/>
    <w:rsid w:val="00550B83"/>
    <w:rsid w:val="0055261B"/>
    <w:rsid w:val="0057555D"/>
    <w:rsid w:val="005A1FE0"/>
    <w:rsid w:val="005B4AF8"/>
    <w:rsid w:val="005E1A55"/>
    <w:rsid w:val="00606E6E"/>
    <w:rsid w:val="0063184E"/>
    <w:rsid w:val="0063343A"/>
    <w:rsid w:val="006470C4"/>
    <w:rsid w:val="006733A6"/>
    <w:rsid w:val="00675634"/>
    <w:rsid w:val="006F1C1F"/>
    <w:rsid w:val="00710E49"/>
    <w:rsid w:val="0071409E"/>
    <w:rsid w:val="00714BC4"/>
    <w:rsid w:val="00750F03"/>
    <w:rsid w:val="00751414"/>
    <w:rsid w:val="007717A9"/>
    <w:rsid w:val="00775E0B"/>
    <w:rsid w:val="007876F2"/>
    <w:rsid w:val="00794D43"/>
    <w:rsid w:val="007C49E5"/>
    <w:rsid w:val="00803BCD"/>
    <w:rsid w:val="00866C67"/>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66948"/>
    <w:rsid w:val="009E0956"/>
    <w:rsid w:val="00A00B60"/>
    <w:rsid w:val="00A0579D"/>
    <w:rsid w:val="00A0731C"/>
    <w:rsid w:val="00A2012D"/>
    <w:rsid w:val="00A32235"/>
    <w:rsid w:val="00A409B6"/>
    <w:rsid w:val="00A45EA8"/>
    <w:rsid w:val="00A65721"/>
    <w:rsid w:val="00A8225B"/>
    <w:rsid w:val="00A824CE"/>
    <w:rsid w:val="00A951C1"/>
    <w:rsid w:val="00AA2740"/>
    <w:rsid w:val="00AB318B"/>
    <w:rsid w:val="00AF7608"/>
    <w:rsid w:val="00B22BB6"/>
    <w:rsid w:val="00B30EB1"/>
    <w:rsid w:val="00B50737"/>
    <w:rsid w:val="00B6022C"/>
    <w:rsid w:val="00B73719"/>
    <w:rsid w:val="00B74B42"/>
    <w:rsid w:val="00B7621D"/>
    <w:rsid w:val="00B76A84"/>
    <w:rsid w:val="00B92A94"/>
    <w:rsid w:val="00B9464A"/>
    <w:rsid w:val="00BB34CB"/>
    <w:rsid w:val="00BB3C73"/>
    <w:rsid w:val="00BB675E"/>
    <w:rsid w:val="00BD0474"/>
    <w:rsid w:val="00BD6A25"/>
    <w:rsid w:val="00BE7832"/>
    <w:rsid w:val="00BF345E"/>
    <w:rsid w:val="00BF6522"/>
    <w:rsid w:val="00C05452"/>
    <w:rsid w:val="00C37160"/>
    <w:rsid w:val="00C52C30"/>
    <w:rsid w:val="00C56EDF"/>
    <w:rsid w:val="00C6100C"/>
    <w:rsid w:val="00C72B61"/>
    <w:rsid w:val="00C747F4"/>
    <w:rsid w:val="00C85DBC"/>
    <w:rsid w:val="00C9113D"/>
    <w:rsid w:val="00C92A84"/>
    <w:rsid w:val="00CA76D1"/>
    <w:rsid w:val="00CB3973"/>
    <w:rsid w:val="00CD12A6"/>
    <w:rsid w:val="00CD7082"/>
    <w:rsid w:val="00CE3577"/>
    <w:rsid w:val="00CE79BD"/>
    <w:rsid w:val="00D0367E"/>
    <w:rsid w:val="00D12D7B"/>
    <w:rsid w:val="00D20C6A"/>
    <w:rsid w:val="00D26747"/>
    <w:rsid w:val="00D33A6F"/>
    <w:rsid w:val="00D430E0"/>
    <w:rsid w:val="00DB5DA8"/>
    <w:rsid w:val="00DF2D02"/>
    <w:rsid w:val="00E26460"/>
    <w:rsid w:val="00E43E59"/>
    <w:rsid w:val="00E7296E"/>
    <w:rsid w:val="00E84A95"/>
    <w:rsid w:val="00EC23FA"/>
    <w:rsid w:val="00ED765B"/>
    <w:rsid w:val="00F11AE0"/>
    <w:rsid w:val="00F22016"/>
    <w:rsid w:val="00F352DB"/>
    <w:rsid w:val="00F46995"/>
    <w:rsid w:val="00F761FC"/>
    <w:rsid w:val="00F94090"/>
    <w:rsid w:val="00FA73AA"/>
    <w:rsid w:val="00FE3C7B"/>
    <w:rsid w:val="00FE4A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736EA"/>
  <w15:docId w15:val="{FADF19D1-644A-4E82-B8C5-8E6C58DF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 w:type="character" w:styleId="Nevyrieenzmienka">
    <w:name w:val="Unresolved Mention"/>
    <w:basedOn w:val="Predvolenpsmoodseku"/>
    <w:uiPriority w:val="99"/>
    <w:semiHidden/>
    <w:unhideWhenUsed/>
    <w:rsid w:val="00710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l@kms-pt.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A98C-B025-4B01-A153-580F91CB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3406</Words>
  <Characters>19415</Characters>
  <Application>Microsoft Office Word</Application>
  <DocSecurity>0</DocSecurity>
  <Lines>161</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4</cp:revision>
  <cp:lastPrinted>2020-04-08T20:58:00Z</cp:lastPrinted>
  <dcterms:created xsi:type="dcterms:W3CDTF">2020-09-16T12:24:00Z</dcterms:created>
  <dcterms:modified xsi:type="dcterms:W3CDTF">2020-09-16T12:25:00Z</dcterms:modified>
</cp:coreProperties>
</file>