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riekatabuky"/>
        <w:tblW w:w="16302" w:type="dxa"/>
        <w:tblInd w:w="-1139" w:type="dxa"/>
        <w:tblLayout w:type="fixed"/>
        <w:tblLook w:val="04A0" w:firstRow="1" w:lastRow="0" w:firstColumn="1" w:lastColumn="0" w:noHBand="0" w:noVBand="1"/>
      </w:tblPr>
      <w:tblGrid>
        <w:gridCol w:w="971"/>
        <w:gridCol w:w="6117"/>
        <w:gridCol w:w="9214"/>
      </w:tblGrid>
      <w:tr w:rsidR="00497141" w:rsidRPr="00497141" w14:paraId="3B397447" w14:textId="77777777" w:rsidTr="00B26DC2">
        <w:tc>
          <w:tcPr>
            <w:tcW w:w="971" w:type="dxa"/>
            <w:shd w:val="clear" w:color="auto" w:fill="D0CECE" w:themeFill="background2" w:themeFillShade="E6"/>
          </w:tcPr>
          <w:p w14:paraId="32A8BAE7" w14:textId="77777777" w:rsidR="00FC51FD" w:rsidRPr="00497141" w:rsidRDefault="00FC51FD">
            <w:r w:rsidRPr="00497141">
              <w:t>Č.otázky</w:t>
            </w:r>
          </w:p>
        </w:tc>
        <w:tc>
          <w:tcPr>
            <w:tcW w:w="6117" w:type="dxa"/>
            <w:shd w:val="clear" w:color="auto" w:fill="D0CECE" w:themeFill="background2" w:themeFillShade="E6"/>
          </w:tcPr>
          <w:p w14:paraId="246B2E53" w14:textId="77777777" w:rsidR="00FC51FD" w:rsidRPr="00497141" w:rsidRDefault="00FC51FD" w:rsidP="000A611E">
            <w:pPr>
              <w:jc w:val="both"/>
              <w:rPr>
                <w:rFonts w:ascii="Arial Narrow" w:hAnsi="Arial Narrow"/>
              </w:rPr>
            </w:pPr>
            <w:r w:rsidRPr="00497141">
              <w:rPr>
                <w:rFonts w:ascii="Arial Narrow" w:hAnsi="Arial Narrow"/>
              </w:rPr>
              <w:t>Text otázky</w:t>
            </w:r>
          </w:p>
        </w:tc>
        <w:tc>
          <w:tcPr>
            <w:tcW w:w="9214" w:type="dxa"/>
            <w:shd w:val="clear" w:color="auto" w:fill="D0CECE" w:themeFill="background2" w:themeFillShade="E6"/>
          </w:tcPr>
          <w:p w14:paraId="3EDCE491" w14:textId="77777777" w:rsidR="00FC51FD" w:rsidRPr="00497141" w:rsidRDefault="00FC51FD" w:rsidP="000A611E">
            <w:pPr>
              <w:jc w:val="both"/>
              <w:rPr>
                <w:rFonts w:ascii="Arial Narrow" w:hAnsi="Arial Narrow"/>
              </w:rPr>
            </w:pPr>
            <w:r w:rsidRPr="00497141">
              <w:rPr>
                <w:rFonts w:ascii="Arial Narrow" w:hAnsi="Arial Narrow"/>
              </w:rPr>
              <w:t>Odpoveď obstarávateľa</w:t>
            </w:r>
          </w:p>
        </w:tc>
      </w:tr>
      <w:tr w:rsidR="00497141" w:rsidRPr="00497141" w14:paraId="72AA9963" w14:textId="77777777" w:rsidTr="00B26DC2">
        <w:trPr>
          <w:trHeight w:val="4397"/>
        </w:trPr>
        <w:tc>
          <w:tcPr>
            <w:tcW w:w="971" w:type="dxa"/>
          </w:tcPr>
          <w:p w14:paraId="2F6287AF" w14:textId="5C7A89DD" w:rsidR="00FC51FD" w:rsidRDefault="00677C37">
            <w:r>
              <w:t>144.</w:t>
            </w:r>
          </w:p>
          <w:p w14:paraId="6C14291F" w14:textId="77777777" w:rsidR="00677C37" w:rsidRDefault="00677C37"/>
          <w:p w14:paraId="262EAD53" w14:textId="71FC0336" w:rsidR="00677C37" w:rsidRPr="00497141" w:rsidRDefault="00677C37"/>
        </w:tc>
        <w:tc>
          <w:tcPr>
            <w:tcW w:w="6117" w:type="dxa"/>
          </w:tcPr>
          <w:p w14:paraId="2C3212B1" w14:textId="77777777" w:rsidR="00633CFF" w:rsidRPr="00633CFF" w:rsidRDefault="00633CFF" w:rsidP="00633CFF">
            <w:pPr>
              <w:pStyle w:val="Default"/>
              <w:rPr>
                <w:rFonts w:asciiTheme="minorHAnsi" w:eastAsiaTheme="minorHAnsi" w:hAnsiTheme="minorHAnsi" w:cstheme="minorBidi"/>
                <w:color w:val="auto"/>
                <w:sz w:val="22"/>
                <w:szCs w:val="22"/>
              </w:rPr>
            </w:pPr>
            <w:r w:rsidRPr="00633CFF">
              <w:rPr>
                <w:rFonts w:asciiTheme="minorHAnsi" w:eastAsiaTheme="minorHAnsi" w:hAnsiTheme="minorHAnsi" w:cstheme="minorBidi"/>
                <w:color w:val="auto"/>
                <w:sz w:val="22"/>
                <w:szCs w:val="22"/>
              </w:rPr>
              <w:t xml:space="preserve">Reakcia na Vašu Odpoveď na otázku č. 29 : Žiadosť o stavebné povolenie nebola podaná. Podanie žiadosti o vydanie stavebného povolenia sa predpokladá v priebehu 01/2021. Uchádzač zohľadní v ponuke podmienky plynúce z vyjadrenia SPP –D, ktoré bolo súčasťou Zv. 5, časti 5.2 Vyjadrenia orgánov a organizácií. </w:t>
            </w:r>
          </w:p>
          <w:p w14:paraId="1803C820" w14:textId="77777777" w:rsidR="00633CFF" w:rsidRPr="00633CFF" w:rsidRDefault="00633CFF" w:rsidP="00633CFF">
            <w:pPr>
              <w:pStyle w:val="Default"/>
              <w:rPr>
                <w:rFonts w:asciiTheme="minorHAnsi" w:eastAsiaTheme="minorHAnsi" w:hAnsiTheme="minorHAnsi" w:cstheme="minorBidi"/>
                <w:color w:val="auto"/>
                <w:sz w:val="22"/>
                <w:szCs w:val="22"/>
              </w:rPr>
            </w:pPr>
          </w:p>
          <w:p w14:paraId="64213376" w14:textId="77777777" w:rsidR="00633CFF" w:rsidRPr="00633CFF" w:rsidRDefault="00633CFF" w:rsidP="00633CFF">
            <w:pPr>
              <w:pStyle w:val="Default"/>
              <w:rPr>
                <w:rFonts w:asciiTheme="minorHAnsi" w:eastAsiaTheme="minorHAnsi" w:hAnsiTheme="minorHAnsi" w:cstheme="minorBidi"/>
                <w:color w:val="auto"/>
                <w:sz w:val="22"/>
                <w:szCs w:val="22"/>
              </w:rPr>
            </w:pPr>
            <w:r w:rsidRPr="00633CFF">
              <w:rPr>
                <w:rFonts w:asciiTheme="minorHAnsi" w:eastAsiaTheme="minorHAnsi" w:hAnsiTheme="minorHAnsi" w:cstheme="minorBidi"/>
                <w:color w:val="auto"/>
                <w:sz w:val="22"/>
                <w:szCs w:val="22"/>
              </w:rPr>
              <w:t>Vzhľadom na Vašu vyššie uvedenú odpoveď a vzhľadom k tomu, že uchádzač nie je projektant a ani nie je v rámci tohto typu ZoD zodpovedný za realizačný projekt (prípadne dokumentáciu pre ponuku</w:t>
            </w:r>
            <w:r w:rsidRPr="00456564">
              <w:rPr>
                <w:rFonts w:asciiTheme="minorHAnsi" w:eastAsiaTheme="minorHAnsi" w:hAnsiTheme="minorHAnsi" w:cstheme="minorBidi"/>
                <w:color w:val="auto"/>
                <w:sz w:val="22"/>
                <w:szCs w:val="22"/>
              </w:rPr>
              <w:t>), žiadame verejného obstarávateľa o zapracovanie podmienok plynúcich z vyjadrenia SPP-D do výkresovej a rozpočtovej časti ponuky.</w:t>
            </w:r>
          </w:p>
          <w:p w14:paraId="6031CDB3" w14:textId="6922B5CF" w:rsidR="00FC51FD" w:rsidRPr="00497141" w:rsidRDefault="00FC51FD" w:rsidP="00633CFF">
            <w:pPr>
              <w:jc w:val="both"/>
            </w:pPr>
          </w:p>
        </w:tc>
        <w:tc>
          <w:tcPr>
            <w:tcW w:w="9214" w:type="dxa"/>
          </w:tcPr>
          <w:p w14:paraId="1A420AF2" w14:textId="70EB1DCA" w:rsidR="00FC51FD" w:rsidRPr="00497141" w:rsidRDefault="000C250D" w:rsidP="000A611E">
            <w:pPr>
              <w:jc w:val="both"/>
              <w:rPr>
                <w:rFonts w:ascii="Arial Narrow" w:hAnsi="Arial Narrow"/>
              </w:rPr>
            </w:pPr>
            <w:r w:rsidRPr="000C250D">
              <w:t>Platia súťažné podklady.</w:t>
            </w:r>
          </w:p>
        </w:tc>
      </w:tr>
      <w:tr w:rsidR="000C250D" w:rsidRPr="00497141" w14:paraId="5444B696" w14:textId="77777777" w:rsidTr="00B26DC2">
        <w:tc>
          <w:tcPr>
            <w:tcW w:w="971" w:type="dxa"/>
            <w:shd w:val="clear" w:color="auto" w:fill="auto"/>
          </w:tcPr>
          <w:p w14:paraId="774A0080" w14:textId="6EBAD019" w:rsidR="000C250D" w:rsidRPr="00497141" w:rsidRDefault="00677C37" w:rsidP="000C250D">
            <w:r>
              <w:t>145</w:t>
            </w:r>
            <w:r w:rsidR="000C250D" w:rsidRPr="00497141">
              <w:t>.</w:t>
            </w:r>
          </w:p>
          <w:p w14:paraId="07002A24" w14:textId="77777777" w:rsidR="000C250D" w:rsidRPr="00497141" w:rsidRDefault="000C250D" w:rsidP="000C250D"/>
          <w:p w14:paraId="130EDAC8" w14:textId="77777777" w:rsidR="000C250D" w:rsidRPr="00497141" w:rsidRDefault="000C250D" w:rsidP="000C250D"/>
          <w:p w14:paraId="15CB6301" w14:textId="394D2C8B" w:rsidR="000C250D" w:rsidRPr="00497141" w:rsidRDefault="000C250D" w:rsidP="000C250D"/>
          <w:p w14:paraId="60B2A085" w14:textId="3FC4F352" w:rsidR="000C250D" w:rsidRPr="00497141" w:rsidRDefault="000C250D" w:rsidP="000C250D"/>
          <w:p w14:paraId="01B764F0" w14:textId="77777777" w:rsidR="000C250D" w:rsidRPr="00497141" w:rsidRDefault="000C250D" w:rsidP="000C250D"/>
        </w:tc>
        <w:tc>
          <w:tcPr>
            <w:tcW w:w="6117" w:type="dxa"/>
          </w:tcPr>
          <w:p w14:paraId="51CC686B" w14:textId="77777777" w:rsidR="000C250D" w:rsidRPr="00633CFF" w:rsidRDefault="000C250D" w:rsidP="000C250D">
            <w:pPr>
              <w:pStyle w:val="Default"/>
              <w:rPr>
                <w:rFonts w:asciiTheme="minorHAnsi" w:eastAsiaTheme="minorHAnsi" w:hAnsiTheme="minorHAnsi" w:cstheme="minorBidi"/>
                <w:color w:val="auto"/>
                <w:sz w:val="22"/>
                <w:szCs w:val="22"/>
              </w:rPr>
            </w:pPr>
            <w:r w:rsidRPr="00633CFF">
              <w:rPr>
                <w:rFonts w:asciiTheme="minorHAnsi" w:eastAsiaTheme="minorHAnsi" w:hAnsiTheme="minorHAnsi" w:cstheme="minorBidi"/>
                <w:color w:val="auto"/>
                <w:sz w:val="22"/>
                <w:szCs w:val="22"/>
              </w:rPr>
              <w:t>Ak je na predchádzajúcu otázku záporná odpoveď, žiadame o potvrdenie, že uchádzač má oceniť poskytnutý výkaz výmer a projektovú dokumentáciu</w:t>
            </w:r>
          </w:p>
          <w:p w14:paraId="29CEA6D1" w14:textId="77777777" w:rsidR="000C250D" w:rsidRPr="00633CFF" w:rsidRDefault="000C250D" w:rsidP="000C250D">
            <w:pPr>
              <w:pStyle w:val="Default"/>
              <w:rPr>
                <w:rFonts w:asciiTheme="minorHAnsi" w:eastAsiaTheme="minorHAnsi" w:hAnsiTheme="minorHAnsi" w:cstheme="minorBidi"/>
                <w:color w:val="auto"/>
                <w:sz w:val="22"/>
                <w:szCs w:val="22"/>
              </w:rPr>
            </w:pPr>
            <w:r w:rsidRPr="00633CFF">
              <w:rPr>
                <w:rFonts w:asciiTheme="minorHAnsi" w:eastAsiaTheme="minorHAnsi" w:hAnsiTheme="minorHAnsi" w:cstheme="minorBidi"/>
                <w:color w:val="auto"/>
                <w:sz w:val="22"/>
                <w:szCs w:val="22"/>
              </w:rPr>
              <w:t>a ak z vyjadrenia SPP-D v rámci stavebného povolenia vyplynú naviac, prípadne zmenené požiadavky, bude mať zhotoviteľ právo postupovať podľa článku 13 Zmluvných podmienok.</w:t>
            </w:r>
          </w:p>
          <w:p w14:paraId="429D7175" w14:textId="77777777" w:rsidR="000C250D" w:rsidRPr="00633CFF" w:rsidRDefault="000C250D" w:rsidP="000C250D">
            <w:pPr>
              <w:pStyle w:val="Default"/>
              <w:rPr>
                <w:rFonts w:asciiTheme="minorHAnsi" w:eastAsiaTheme="minorHAnsi" w:hAnsiTheme="minorHAnsi" w:cstheme="minorBidi"/>
                <w:color w:val="auto"/>
                <w:sz w:val="22"/>
                <w:szCs w:val="22"/>
              </w:rPr>
            </w:pPr>
            <w:r w:rsidRPr="00633CFF">
              <w:rPr>
                <w:rFonts w:asciiTheme="minorHAnsi" w:eastAsiaTheme="minorHAnsi" w:hAnsiTheme="minorHAnsi" w:cstheme="minorBidi"/>
                <w:color w:val="auto"/>
                <w:sz w:val="22"/>
                <w:szCs w:val="22"/>
              </w:rPr>
              <w:t xml:space="preserve">  </w:t>
            </w:r>
          </w:p>
          <w:p w14:paraId="6955D1B1" w14:textId="73A5AE1F" w:rsidR="000C250D" w:rsidRPr="00497141" w:rsidRDefault="000C250D" w:rsidP="000C250D"/>
        </w:tc>
        <w:tc>
          <w:tcPr>
            <w:tcW w:w="9214" w:type="dxa"/>
          </w:tcPr>
          <w:p w14:paraId="416D47C2" w14:textId="4AB1A5BC" w:rsidR="000C250D" w:rsidRPr="00EC18B3" w:rsidRDefault="000C250D" w:rsidP="000C250D">
            <w:r w:rsidRPr="00EC18B3">
              <w:t>V  prípade zmeny podmienok, príp. nových požiadaviek  má zhotoviteľ právo postupovať podľa článku 13 Zmluvných podmienok.</w:t>
            </w:r>
          </w:p>
          <w:p w14:paraId="1C5A6E43" w14:textId="1D56435E" w:rsidR="000C250D" w:rsidRPr="00EC18B3" w:rsidRDefault="000C250D" w:rsidP="000C250D">
            <w:pPr>
              <w:jc w:val="center"/>
            </w:pPr>
          </w:p>
        </w:tc>
      </w:tr>
      <w:tr w:rsidR="000C250D" w:rsidRPr="00497141" w14:paraId="3F1624FC" w14:textId="77777777" w:rsidTr="00B26DC2">
        <w:tc>
          <w:tcPr>
            <w:tcW w:w="971" w:type="dxa"/>
          </w:tcPr>
          <w:p w14:paraId="6B1D85CF" w14:textId="7EBE29D7" w:rsidR="000C250D" w:rsidRPr="00497141" w:rsidRDefault="00677C37" w:rsidP="000C250D">
            <w:r>
              <w:t>146</w:t>
            </w:r>
            <w:r w:rsidR="000C250D" w:rsidRPr="00497141">
              <w:t>.</w:t>
            </w:r>
          </w:p>
        </w:tc>
        <w:tc>
          <w:tcPr>
            <w:tcW w:w="6117" w:type="dxa"/>
          </w:tcPr>
          <w:p w14:paraId="158D3333" w14:textId="77777777" w:rsidR="000C250D" w:rsidRDefault="000C250D" w:rsidP="000C250D">
            <w:r>
              <w:t xml:space="preserve">V Technickej správe SO 232 v časti 11.2 Zvláštne podmienky realizácie, sa uvádza: </w:t>
            </w:r>
          </w:p>
          <w:p w14:paraId="64F1E91E" w14:textId="77777777" w:rsidR="000C250D" w:rsidRDefault="000C250D" w:rsidP="000C250D">
            <w:r>
              <w:t>„Po skonsolidovaní zemného násypu a ustálení sadania bude možné z násypu vyvŕtať a vybetónovať pilóty opôr.“</w:t>
            </w:r>
          </w:p>
          <w:p w14:paraId="2F890994" w14:textId="77777777" w:rsidR="000C250D" w:rsidRDefault="000C250D" w:rsidP="000C250D">
            <w:r>
              <w:t>Pre účely spracovania harmonogramu žiadame uviesť dĺžku konsolidácie násypu pod oporami.</w:t>
            </w:r>
          </w:p>
          <w:p w14:paraId="716668CF" w14:textId="3615D8FE" w:rsidR="000C250D" w:rsidRPr="00497141" w:rsidRDefault="000C250D" w:rsidP="000C250D"/>
        </w:tc>
        <w:tc>
          <w:tcPr>
            <w:tcW w:w="9214" w:type="dxa"/>
          </w:tcPr>
          <w:p w14:paraId="00CFCDC8" w14:textId="4835A071" w:rsidR="000C250D" w:rsidRPr="00497141" w:rsidRDefault="000C250D" w:rsidP="000C250D">
            <w:r w:rsidRPr="00456564">
              <w:rPr>
                <w:color w:val="000000" w:themeColor="text1"/>
              </w:rPr>
              <w:t>S konsolidáciou násypu na SO 232-00 sa neuvažuje.</w:t>
            </w:r>
          </w:p>
        </w:tc>
      </w:tr>
      <w:tr w:rsidR="000C250D" w:rsidRPr="00497141" w14:paraId="5D4670D6" w14:textId="77777777" w:rsidTr="00B26DC2">
        <w:tc>
          <w:tcPr>
            <w:tcW w:w="971" w:type="dxa"/>
            <w:shd w:val="clear" w:color="auto" w:fill="auto"/>
          </w:tcPr>
          <w:p w14:paraId="4F959B48" w14:textId="15D16E39" w:rsidR="000C250D" w:rsidRPr="00497141" w:rsidRDefault="00677C37" w:rsidP="000C250D">
            <w:r>
              <w:lastRenderedPageBreak/>
              <w:t>147</w:t>
            </w:r>
            <w:r w:rsidR="000C250D" w:rsidRPr="00497141">
              <w:t>.</w:t>
            </w:r>
          </w:p>
        </w:tc>
        <w:tc>
          <w:tcPr>
            <w:tcW w:w="6117" w:type="dxa"/>
          </w:tcPr>
          <w:p w14:paraId="1C18F433" w14:textId="77777777" w:rsidR="000C250D" w:rsidRDefault="000C250D" w:rsidP="000C250D">
            <w:r>
              <w:t xml:space="preserve">Počíta Obstarávateľ aj s konsolidáciou násypu pod oporami na SO 231? </w:t>
            </w:r>
          </w:p>
          <w:p w14:paraId="045CF81C" w14:textId="77777777" w:rsidR="000C250D" w:rsidRDefault="000C250D" w:rsidP="000C250D">
            <w:r>
              <w:t>Ak je odpoveď „áno“, žiadame Obstarávateľa pre účely spracovania harmonogramu a splnenia míľnikov uviesť dĺžku konsolidácie?</w:t>
            </w:r>
          </w:p>
          <w:p w14:paraId="2FCBDAD8" w14:textId="7F325A51" w:rsidR="000C250D" w:rsidRPr="00497141" w:rsidRDefault="000C250D" w:rsidP="000C250D"/>
        </w:tc>
        <w:tc>
          <w:tcPr>
            <w:tcW w:w="9214" w:type="dxa"/>
          </w:tcPr>
          <w:p w14:paraId="7C2783E7" w14:textId="77777777" w:rsidR="000C250D" w:rsidRPr="00B621C2" w:rsidRDefault="000C250D" w:rsidP="000C250D">
            <w:pPr>
              <w:rPr>
                <w:color w:val="FF0000"/>
              </w:rPr>
            </w:pPr>
            <w:r w:rsidRPr="00456564">
              <w:rPr>
                <w:color w:val="000000" w:themeColor="text1"/>
              </w:rPr>
              <w:t>S konsolidáciou násypu na SO 231-00 sa neuvažuje.</w:t>
            </w:r>
          </w:p>
          <w:p w14:paraId="3A976690" w14:textId="117C91D7" w:rsidR="000C250D" w:rsidRPr="00497141" w:rsidRDefault="000C250D" w:rsidP="000C250D">
            <w:pPr>
              <w:pStyle w:val="Obyajntext"/>
              <w:rPr>
                <w:szCs w:val="22"/>
              </w:rPr>
            </w:pPr>
          </w:p>
        </w:tc>
      </w:tr>
      <w:tr w:rsidR="000C250D" w:rsidRPr="00497141" w14:paraId="454DB47B" w14:textId="77777777" w:rsidTr="00B26DC2">
        <w:tc>
          <w:tcPr>
            <w:tcW w:w="971" w:type="dxa"/>
            <w:shd w:val="clear" w:color="auto" w:fill="auto"/>
          </w:tcPr>
          <w:p w14:paraId="7263A95E" w14:textId="32D55F95" w:rsidR="000C250D" w:rsidRPr="00497141" w:rsidRDefault="00677C37" w:rsidP="000C250D">
            <w:r>
              <w:t>148</w:t>
            </w:r>
            <w:r w:rsidR="000C250D" w:rsidRPr="00497141">
              <w:t>.</w:t>
            </w:r>
          </w:p>
        </w:tc>
        <w:tc>
          <w:tcPr>
            <w:tcW w:w="6117" w:type="dxa"/>
          </w:tcPr>
          <w:p w14:paraId="1CCDD342" w14:textId="77777777" w:rsidR="000C250D" w:rsidRDefault="000C250D" w:rsidP="000C250D">
            <w:r>
              <w:t>Uchádzačovi nie je zrozumiteľná odpoveď č.2 na otázku č. 84.</w:t>
            </w:r>
          </w:p>
          <w:p w14:paraId="1F2E5289" w14:textId="77777777" w:rsidR="000C250D" w:rsidRDefault="000C250D" w:rsidP="000C250D">
            <w:r>
              <w:t>Otázka: Môže to Obstarávateľ dovysvetliť?</w:t>
            </w:r>
          </w:p>
          <w:p w14:paraId="4C20AEFE" w14:textId="49BFD1A8" w:rsidR="000C250D" w:rsidRPr="00497141" w:rsidRDefault="000C250D" w:rsidP="000C250D">
            <w:pPr>
              <w:rPr>
                <w:rFonts w:ascii="Open Sans" w:hAnsi="Open Sans"/>
                <w:sz w:val="20"/>
                <w:szCs w:val="20"/>
                <w:shd w:val="clear" w:color="auto" w:fill="FFFFFF"/>
              </w:rPr>
            </w:pPr>
          </w:p>
        </w:tc>
        <w:tc>
          <w:tcPr>
            <w:tcW w:w="9214" w:type="dxa"/>
          </w:tcPr>
          <w:p w14:paraId="09176E4C" w14:textId="77777777" w:rsidR="000C250D" w:rsidRDefault="000C250D" w:rsidP="000C250D">
            <w:r w:rsidRPr="00456564">
              <w:t xml:space="preserve">Kompletná odpoveď č.2 v ot. č.84: Vzhľadom k nízkej hodnote výpočtového plášťového trenia na pilóte je predpokladaná skúška s kotveným zaťažovacím mostom a prenos vyvolanej ťahovej sily do dvoch susedných pilót. </w:t>
            </w:r>
          </w:p>
          <w:p w14:paraId="1CE62CB4" w14:textId="2C727068" w:rsidR="000C250D" w:rsidRPr="00456564" w:rsidRDefault="000C250D" w:rsidP="000C250D">
            <w:pPr>
              <w:pStyle w:val="Obyajntext"/>
              <w:rPr>
                <w:rFonts w:asciiTheme="minorHAnsi" w:hAnsiTheme="minorHAnsi"/>
                <w:szCs w:val="22"/>
              </w:rPr>
            </w:pPr>
          </w:p>
        </w:tc>
      </w:tr>
      <w:tr w:rsidR="000C250D" w:rsidRPr="00497141" w14:paraId="3288FD9C" w14:textId="77777777" w:rsidTr="00B26DC2">
        <w:tc>
          <w:tcPr>
            <w:tcW w:w="971" w:type="dxa"/>
          </w:tcPr>
          <w:p w14:paraId="5111AA46" w14:textId="1D5E4997" w:rsidR="000C250D" w:rsidRPr="00497141" w:rsidRDefault="00677C37" w:rsidP="000C250D">
            <w:r>
              <w:t>149</w:t>
            </w:r>
            <w:r w:rsidR="000C250D" w:rsidRPr="00497141">
              <w:t>.</w:t>
            </w:r>
          </w:p>
        </w:tc>
        <w:tc>
          <w:tcPr>
            <w:tcW w:w="6117" w:type="dxa"/>
          </w:tcPr>
          <w:p w14:paraId="377686CD" w14:textId="77777777" w:rsidR="000C250D" w:rsidRDefault="000C250D" w:rsidP="000C250D">
            <w:r>
              <w:t>Vo všeobecných položkách je uvedená položka :</w:t>
            </w:r>
          </w:p>
          <w:tbl>
            <w:tblPr>
              <w:tblW w:w="8640" w:type="dxa"/>
              <w:tblInd w:w="2" w:type="dxa"/>
              <w:tblLayout w:type="fixed"/>
              <w:tblCellMar>
                <w:left w:w="0" w:type="dxa"/>
                <w:right w:w="0" w:type="dxa"/>
              </w:tblCellMar>
              <w:tblLook w:val="04A0" w:firstRow="1" w:lastRow="0" w:firstColumn="1" w:lastColumn="0" w:noHBand="0" w:noVBand="1"/>
            </w:tblPr>
            <w:tblGrid>
              <w:gridCol w:w="1228"/>
              <w:gridCol w:w="5736"/>
              <w:gridCol w:w="508"/>
              <w:gridCol w:w="1168"/>
            </w:tblGrid>
            <w:tr w:rsidR="000C250D" w14:paraId="027C4016" w14:textId="77777777" w:rsidTr="005A1B47">
              <w:trPr>
                <w:trHeight w:val="255"/>
              </w:trPr>
              <w:tc>
                <w:tcPr>
                  <w:tcW w:w="122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91E2E41" w14:textId="77777777" w:rsidR="000C250D" w:rsidRDefault="000C250D" w:rsidP="000C250D">
                  <w:pPr>
                    <w:spacing w:line="252" w:lineRule="auto"/>
                    <w:jc w:val="center"/>
                    <w:rPr>
                      <w:rFonts w:ascii="Arial" w:hAnsi="Arial" w:cs="Arial"/>
                      <w:sz w:val="20"/>
                      <w:szCs w:val="20"/>
                      <w:lang w:eastAsia="sk-SK"/>
                    </w:rPr>
                  </w:pPr>
                  <w:r>
                    <w:rPr>
                      <w:rFonts w:ascii="Arial" w:hAnsi="Arial" w:cs="Arial"/>
                      <w:sz w:val="20"/>
                      <w:szCs w:val="20"/>
                      <w:lang w:eastAsia="sk-SK"/>
                    </w:rPr>
                    <w:t>112</w:t>
                  </w:r>
                </w:p>
              </w:tc>
              <w:tc>
                <w:tcPr>
                  <w:tcW w:w="573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5E14DE6" w14:textId="77777777" w:rsidR="000C250D" w:rsidRDefault="000C250D" w:rsidP="000C250D">
                  <w:pPr>
                    <w:spacing w:line="252" w:lineRule="auto"/>
                    <w:rPr>
                      <w:rFonts w:ascii="Arial" w:hAnsi="Arial" w:cs="Arial"/>
                      <w:sz w:val="20"/>
                      <w:szCs w:val="20"/>
                      <w:lang w:eastAsia="sk-SK"/>
                    </w:rPr>
                  </w:pPr>
                  <w:r>
                    <w:rPr>
                      <w:rFonts w:ascii="Arial" w:hAnsi="Arial" w:cs="Arial"/>
                      <w:sz w:val="20"/>
                      <w:szCs w:val="20"/>
                      <w:lang w:eastAsia="sk-SK"/>
                    </w:rPr>
                    <w:t>Poplatok za skládkovanie vybúraných hmôt a sutí</w:t>
                  </w:r>
                </w:p>
              </w:tc>
              <w:tc>
                <w:tcPr>
                  <w:tcW w:w="508" w:type="dxa"/>
                  <w:tcBorders>
                    <w:top w:val="single" w:sz="8" w:space="0" w:color="auto"/>
                    <w:left w:val="nil"/>
                    <w:bottom w:val="single" w:sz="8" w:space="0" w:color="auto"/>
                    <w:right w:val="nil"/>
                  </w:tcBorders>
                  <w:noWrap/>
                  <w:tcMar>
                    <w:top w:w="0" w:type="dxa"/>
                    <w:left w:w="70" w:type="dxa"/>
                    <w:bottom w:w="0" w:type="dxa"/>
                    <w:right w:w="70" w:type="dxa"/>
                  </w:tcMar>
                  <w:vAlign w:val="center"/>
                  <w:hideMark/>
                </w:tcPr>
                <w:p w14:paraId="5F766C09" w14:textId="77777777" w:rsidR="000C250D" w:rsidRDefault="000C250D" w:rsidP="000C250D">
                  <w:pPr>
                    <w:spacing w:line="252" w:lineRule="auto"/>
                    <w:jc w:val="center"/>
                    <w:rPr>
                      <w:rFonts w:ascii="Arial" w:hAnsi="Arial" w:cs="Arial"/>
                      <w:sz w:val="20"/>
                      <w:szCs w:val="20"/>
                      <w:lang w:eastAsia="sk-SK"/>
                    </w:rPr>
                  </w:pPr>
                  <w:r>
                    <w:rPr>
                      <w:rFonts w:ascii="Arial" w:hAnsi="Arial" w:cs="Arial"/>
                      <w:sz w:val="20"/>
                      <w:szCs w:val="20"/>
                      <w:lang w:eastAsia="sk-SK"/>
                    </w:rPr>
                    <w:t>t</w:t>
                  </w:r>
                </w:p>
              </w:tc>
              <w:tc>
                <w:tcPr>
                  <w:tcW w:w="116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D1B7C4B" w14:textId="77777777" w:rsidR="000C250D" w:rsidRDefault="000C250D" w:rsidP="000C250D">
                  <w:pPr>
                    <w:spacing w:line="252" w:lineRule="auto"/>
                    <w:jc w:val="right"/>
                    <w:rPr>
                      <w:rFonts w:ascii="Arial" w:hAnsi="Arial" w:cs="Arial"/>
                      <w:sz w:val="20"/>
                      <w:szCs w:val="20"/>
                      <w:lang w:eastAsia="sk-SK"/>
                    </w:rPr>
                  </w:pPr>
                  <w:r>
                    <w:rPr>
                      <w:rFonts w:ascii="Arial" w:hAnsi="Arial" w:cs="Arial"/>
                      <w:sz w:val="20"/>
                      <w:szCs w:val="20"/>
                      <w:lang w:eastAsia="sk-SK"/>
                    </w:rPr>
                    <w:t>8 080,82</w:t>
                  </w:r>
                </w:p>
              </w:tc>
            </w:tr>
          </w:tbl>
          <w:p w14:paraId="73B3429D" w14:textId="77777777" w:rsidR="000C250D" w:rsidRDefault="000C250D" w:rsidP="000C250D">
            <w:r>
              <w:t>Vzhľadom na to, že v danej položke sú skumulované rôzne typy odpadov, ktoré majú rôzne jednotkové ceny, prípadne z nich vznikne výzisk,</w:t>
            </w:r>
          </w:p>
          <w:p w14:paraId="3F0F6AD6" w14:textId="77777777" w:rsidR="000C250D" w:rsidRDefault="000C250D" w:rsidP="000C250D">
            <w:r>
              <w:t>žiadame, aby sa výmera TONY zmenila na výmeru KOMPLET, čím sa zjednoduší fakturácia a uchádzač sa dostane k celej nakalkulovanej sume.</w:t>
            </w:r>
          </w:p>
          <w:p w14:paraId="51CEE422" w14:textId="5EDAFA2A" w:rsidR="000C250D" w:rsidRPr="00497141" w:rsidRDefault="000C250D" w:rsidP="000C250D">
            <w:pPr>
              <w:rPr>
                <w:rFonts w:ascii="Open Sans" w:hAnsi="Open Sans"/>
                <w:sz w:val="20"/>
                <w:szCs w:val="20"/>
                <w:shd w:val="clear" w:color="auto" w:fill="FFFFFF"/>
              </w:rPr>
            </w:pPr>
          </w:p>
        </w:tc>
        <w:tc>
          <w:tcPr>
            <w:tcW w:w="9214" w:type="dxa"/>
          </w:tcPr>
          <w:p w14:paraId="2025B9A1" w14:textId="57238545" w:rsidR="000C250D" w:rsidRDefault="000C250D" w:rsidP="000C250D">
            <w:pPr>
              <w:rPr>
                <w:color w:val="FF0000"/>
              </w:rPr>
            </w:pPr>
            <w:r>
              <w:rPr>
                <w:color w:val="FF0000"/>
              </w:rPr>
              <w:t xml:space="preserve"> </w:t>
            </w:r>
            <w:r w:rsidRPr="00456564">
              <w:rPr>
                <w:color w:val="000000" w:themeColor="text1"/>
              </w:rPr>
              <w:t>Platí uvedená merná jednotka v súťažných podkladoch.</w:t>
            </w:r>
          </w:p>
          <w:p w14:paraId="0912D52E" w14:textId="4F211727" w:rsidR="000C250D" w:rsidRPr="00497141" w:rsidRDefault="000C250D" w:rsidP="000C250D">
            <w:pPr>
              <w:rPr>
                <w:rFonts w:ascii="Open Sans" w:hAnsi="Open Sans"/>
                <w:sz w:val="20"/>
                <w:szCs w:val="20"/>
                <w:shd w:val="clear" w:color="auto" w:fill="FFFFFF"/>
              </w:rPr>
            </w:pPr>
          </w:p>
        </w:tc>
      </w:tr>
      <w:tr w:rsidR="000C250D" w:rsidRPr="00497141" w14:paraId="7962A70B" w14:textId="77777777" w:rsidTr="00B26DC2">
        <w:tc>
          <w:tcPr>
            <w:tcW w:w="971" w:type="dxa"/>
          </w:tcPr>
          <w:p w14:paraId="4C76107B" w14:textId="653A5FE1" w:rsidR="000C250D" w:rsidRPr="00497141" w:rsidRDefault="00677C37" w:rsidP="000C250D">
            <w:r>
              <w:t>150</w:t>
            </w:r>
            <w:r w:rsidR="000C250D" w:rsidRPr="00497141">
              <w:t>.</w:t>
            </w:r>
          </w:p>
        </w:tc>
        <w:tc>
          <w:tcPr>
            <w:tcW w:w="6117" w:type="dxa"/>
          </w:tcPr>
          <w:p w14:paraId="1C3FD1FA" w14:textId="4D398152" w:rsidR="000C250D" w:rsidRPr="00633CFF" w:rsidRDefault="000C250D" w:rsidP="000C250D">
            <w:pPr>
              <w:pStyle w:val="Default"/>
              <w:rPr>
                <w:rFonts w:asciiTheme="minorHAnsi" w:eastAsiaTheme="minorHAnsi" w:hAnsiTheme="minorHAnsi" w:cstheme="minorBidi"/>
                <w:color w:val="auto"/>
                <w:sz w:val="22"/>
                <w:szCs w:val="22"/>
              </w:rPr>
            </w:pPr>
            <w:r w:rsidRPr="00633CFF">
              <w:rPr>
                <w:rFonts w:asciiTheme="minorHAnsi" w:eastAsiaTheme="minorHAnsi" w:hAnsiTheme="minorHAnsi" w:cstheme="minorBidi"/>
                <w:color w:val="auto"/>
                <w:sz w:val="22"/>
                <w:szCs w:val="22"/>
              </w:rPr>
              <w:t xml:space="preserve">Vzhľadom na odpoveď na otázku č.36 a 89, žiadame o potvrdenie, že v prípade zmeny ceny z dôvodu zmeny veľkosti trvalých značiek má zhotoviteľ právo postupovať podľa článku 13 Zmluvných podmienok.  </w:t>
            </w:r>
          </w:p>
          <w:p w14:paraId="437BB1A8" w14:textId="60285F1A" w:rsidR="000C250D" w:rsidRPr="00497141" w:rsidRDefault="000C250D" w:rsidP="000C250D">
            <w:pPr>
              <w:tabs>
                <w:tab w:val="left" w:pos="4356"/>
              </w:tabs>
              <w:rPr>
                <w:rFonts w:ascii="Open Sans" w:hAnsi="Open Sans"/>
                <w:sz w:val="20"/>
                <w:szCs w:val="20"/>
                <w:shd w:val="clear" w:color="auto" w:fill="FFFFFF"/>
              </w:rPr>
            </w:pPr>
          </w:p>
        </w:tc>
        <w:tc>
          <w:tcPr>
            <w:tcW w:w="9214" w:type="dxa"/>
          </w:tcPr>
          <w:p w14:paraId="72E2F8CE" w14:textId="77777777" w:rsidR="000C250D" w:rsidRPr="00456564" w:rsidRDefault="000C250D" w:rsidP="000C250D">
            <w:pPr>
              <w:rPr>
                <w:color w:val="000000" w:themeColor="text1"/>
              </w:rPr>
            </w:pPr>
            <w:r w:rsidRPr="00456564">
              <w:rPr>
                <w:color w:val="000000" w:themeColor="text1"/>
              </w:rPr>
              <w:t>Áno, v prípade zmeny ceny z dôvodu zmeny veľkosti trvalých značiek má zhotoviteľ právo postupovať podľa článku 13 Zmluvných podmienok.</w:t>
            </w:r>
          </w:p>
          <w:p w14:paraId="7B5B51EB" w14:textId="438214A6" w:rsidR="000C250D" w:rsidRPr="00497141" w:rsidRDefault="000C250D" w:rsidP="000C250D">
            <w:pPr>
              <w:rPr>
                <w:rFonts w:ascii="Open Sans" w:hAnsi="Open Sans"/>
                <w:sz w:val="20"/>
                <w:szCs w:val="20"/>
                <w:shd w:val="clear" w:color="auto" w:fill="FFFFFF"/>
              </w:rPr>
            </w:pPr>
          </w:p>
        </w:tc>
      </w:tr>
      <w:tr w:rsidR="000C250D" w:rsidRPr="00497141" w14:paraId="6004DAC8" w14:textId="77777777" w:rsidTr="00B26DC2">
        <w:tc>
          <w:tcPr>
            <w:tcW w:w="971" w:type="dxa"/>
            <w:shd w:val="clear" w:color="auto" w:fill="auto"/>
          </w:tcPr>
          <w:p w14:paraId="58AF48CE" w14:textId="22073814" w:rsidR="000C250D" w:rsidRPr="00497141" w:rsidRDefault="00677C37" w:rsidP="000C250D">
            <w:r>
              <w:t>151</w:t>
            </w:r>
            <w:r w:rsidR="000C250D" w:rsidRPr="00497141">
              <w:t>.</w:t>
            </w:r>
          </w:p>
        </w:tc>
        <w:tc>
          <w:tcPr>
            <w:tcW w:w="6117" w:type="dxa"/>
          </w:tcPr>
          <w:p w14:paraId="03A521C2" w14:textId="77777777" w:rsidR="000C250D" w:rsidRPr="00C60B42" w:rsidRDefault="000C250D" w:rsidP="000C250D">
            <w:r w:rsidRPr="00C60B42">
              <w:t>V odpovedi na otázku č.38, 119,120,121 uvádzate že výfrezok sa má odviesť správcovi na 10 km.</w:t>
            </w:r>
          </w:p>
          <w:p w14:paraId="710CCD4A" w14:textId="77777777" w:rsidR="000C250D" w:rsidRPr="00C60B42" w:rsidRDefault="000C250D" w:rsidP="000C250D">
            <w:r w:rsidRPr="00C60B42">
              <w:t>Avšak máme za to, že množstvo tohto výfrezku (3 579 ton) je započítané v celkovom množstve ton v položke 112, všeobecných položiek.</w:t>
            </w:r>
          </w:p>
          <w:p w14:paraId="132C8A78" w14:textId="77777777" w:rsidR="000C250D" w:rsidRDefault="000C250D" w:rsidP="000C250D">
            <w:r w:rsidRPr="00C60B42">
              <w:t>Žiadame o vysvetlenie a nápravu.</w:t>
            </w:r>
          </w:p>
          <w:p w14:paraId="067C10C5" w14:textId="77777777" w:rsidR="000C250D" w:rsidRPr="00497141" w:rsidRDefault="000C250D" w:rsidP="000C250D">
            <w:pPr>
              <w:rPr>
                <w:rFonts w:ascii="Open Sans" w:hAnsi="Open Sans"/>
                <w:sz w:val="20"/>
                <w:szCs w:val="20"/>
                <w:shd w:val="clear" w:color="auto" w:fill="FFFFFF"/>
              </w:rPr>
            </w:pPr>
          </w:p>
        </w:tc>
        <w:tc>
          <w:tcPr>
            <w:tcW w:w="9214" w:type="dxa"/>
            <w:shd w:val="clear" w:color="auto" w:fill="auto"/>
          </w:tcPr>
          <w:p w14:paraId="69FAE658" w14:textId="6F5421FB" w:rsidR="000C250D" w:rsidRPr="00456564" w:rsidRDefault="000C250D" w:rsidP="000C250D">
            <w:pPr>
              <w:jc w:val="both"/>
              <w:rPr>
                <w:color w:val="000000" w:themeColor="text1"/>
              </w:rPr>
            </w:pPr>
            <w:r w:rsidRPr="00456564">
              <w:rPr>
                <w:color w:val="000000" w:themeColor="text1"/>
              </w:rPr>
              <w:t>Nakoľko v súčasnosti nie je uzavretý zmluvný vzťah so správcami komunikácií, ponechávame uvedené množstvo 3579t výfrezku vo všeobecnej položke č. 112. Fakturujú sa len skutočne realizované práce, množstvá.</w:t>
            </w:r>
          </w:p>
          <w:p w14:paraId="609C1CAC" w14:textId="132E3C92" w:rsidR="000C250D" w:rsidRPr="00497141" w:rsidRDefault="000C250D" w:rsidP="000C250D"/>
        </w:tc>
      </w:tr>
      <w:tr w:rsidR="000C250D" w:rsidRPr="00497141" w14:paraId="3BB98B9B" w14:textId="77777777" w:rsidTr="00B26DC2">
        <w:tc>
          <w:tcPr>
            <w:tcW w:w="971" w:type="dxa"/>
            <w:shd w:val="clear" w:color="auto" w:fill="auto"/>
          </w:tcPr>
          <w:p w14:paraId="354A24DE" w14:textId="4839F405" w:rsidR="000C250D" w:rsidRPr="00497141" w:rsidRDefault="00677C37" w:rsidP="000C250D">
            <w:r>
              <w:t>152</w:t>
            </w:r>
            <w:r w:rsidR="000C250D" w:rsidRPr="00497141">
              <w:t>.</w:t>
            </w:r>
          </w:p>
        </w:tc>
        <w:tc>
          <w:tcPr>
            <w:tcW w:w="6117" w:type="dxa"/>
          </w:tcPr>
          <w:p w14:paraId="202BEF9B" w14:textId="77777777" w:rsidR="000C250D" w:rsidRDefault="000C250D" w:rsidP="000C250D">
            <w:r>
              <w:t>Vzhľadom na odpoveď na otázku č.78 a v kontexte odpovede na otázku č.77,</w:t>
            </w:r>
          </w:p>
          <w:p w14:paraId="5093CCC6" w14:textId="77777777" w:rsidR="000C250D" w:rsidRDefault="000C250D" w:rsidP="000C250D">
            <w:r>
              <w:t>žiadame uviesť ako má zhotoviteľ napočítať cenu na DDZ (DSS) pre SO 113 bez schémy ?</w:t>
            </w:r>
          </w:p>
          <w:p w14:paraId="51239C00" w14:textId="77777777" w:rsidR="000C250D" w:rsidRDefault="000C250D" w:rsidP="000C250D">
            <w:r>
              <w:t>Opätovne žiadame o jej doručenie.</w:t>
            </w:r>
          </w:p>
          <w:p w14:paraId="44003B94" w14:textId="77777777" w:rsidR="000C250D" w:rsidRPr="00497141" w:rsidRDefault="000C250D" w:rsidP="000C250D">
            <w:pPr>
              <w:rPr>
                <w:rFonts w:ascii="Open Sans" w:hAnsi="Open Sans"/>
                <w:sz w:val="20"/>
                <w:szCs w:val="20"/>
                <w:shd w:val="clear" w:color="auto" w:fill="FFFFFF"/>
              </w:rPr>
            </w:pPr>
          </w:p>
        </w:tc>
        <w:tc>
          <w:tcPr>
            <w:tcW w:w="9214" w:type="dxa"/>
          </w:tcPr>
          <w:p w14:paraId="390A27F8" w14:textId="77777777" w:rsidR="000C250D" w:rsidRPr="00456564" w:rsidRDefault="000C250D" w:rsidP="000C250D">
            <w:pPr>
              <w:rPr>
                <w:color w:val="000000" w:themeColor="text1"/>
              </w:rPr>
            </w:pPr>
            <w:r w:rsidRPr="00456564">
              <w:rPr>
                <w:color w:val="000000" w:themeColor="text1"/>
              </w:rPr>
              <w:t>Vo všeobecnej položke 108 uchádzač ocení ako jeden „kpl“ realizáciu, prevádzku a odstránenie dočasného DZ (vodorovné aj zvislé) vrátane vypracovania projektu dočasného DZ (vodorovné aj zvislé), vrátane získania potrebných dokladov a povolení.</w:t>
            </w:r>
          </w:p>
          <w:p w14:paraId="57FA631F" w14:textId="5963BCD2" w:rsidR="000C250D" w:rsidRPr="00497141" w:rsidRDefault="000C250D" w:rsidP="000C250D">
            <w:pPr>
              <w:pStyle w:val="Obyajntext"/>
              <w:jc w:val="both"/>
            </w:pPr>
          </w:p>
        </w:tc>
      </w:tr>
      <w:tr w:rsidR="000C250D" w:rsidRPr="00497141" w14:paraId="7E839AC0" w14:textId="77777777" w:rsidTr="00B26DC2">
        <w:tc>
          <w:tcPr>
            <w:tcW w:w="971" w:type="dxa"/>
          </w:tcPr>
          <w:p w14:paraId="582D9000" w14:textId="279E3CE6" w:rsidR="000C250D" w:rsidRPr="00497141" w:rsidRDefault="00677C37" w:rsidP="000C250D">
            <w:r>
              <w:t>153</w:t>
            </w:r>
            <w:r w:rsidR="000C250D" w:rsidRPr="00497141">
              <w:t>.</w:t>
            </w:r>
          </w:p>
        </w:tc>
        <w:tc>
          <w:tcPr>
            <w:tcW w:w="6117" w:type="dxa"/>
          </w:tcPr>
          <w:p w14:paraId="58494496" w14:textId="77777777" w:rsidR="000C250D" w:rsidRDefault="000C250D" w:rsidP="000C250D">
            <w:r>
              <w:t>V SP  vo Zv. 4 Preambule je uvedené: „V prípade nejednoznačnosti popisu položky, resp. v prípade nesúladu popisu položiek uvedených v súpise položiek oproti projektovej dokumentácii stavby (ktorá je súčasťou súťažných podkladov), platí dokumentácia na realizáciu stavby. Akékoľvek požiadavky na uplatnenie si nároku na dodatočnú platbu z titulu nejednoznačnosti, resp. nesúladu popisu položiek (uvedených v súpise položiek) s dokumentáciou na realizáciu stavby nebudú priznané.</w:t>
            </w:r>
          </w:p>
          <w:p w14:paraId="0DD91898" w14:textId="77777777" w:rsidR="000C250D" w:rsidRDefault="000C250D" w:rsidP="000C250D">
            <w:r>
              <w:t xml:space="preserve">Chápeme správne vysvetlenie v odpovedi na otázku č. 37., že VO požaduje realizovať krajnicu  v SO 137 zo zeminy, čo na základe vysvetlenia uchádzač v tejto položke aj ocení?  V prípade, že by VO v etape realizácie požadoval krajnicu zo štrkodrvy, ako je to vyžadované v TS objektu, nebude to považované za prípad „nejednoznačnosti“ uvádzaný v Preambule, ale zhotoviteľ si bude si môcť uplatňovať dodatočnú platbu? </w:t>
            </w:r>
          </w:p>
          <w:p w14:paraId="40AA1D1D" w14:textId="77777777" w:rsidR="000C250D" w:rsidRPr="00497141" w:rsidRDefault="000C250D" w:rsidP="000C250D">
            <w:pPr>
              <w:pStyle w:val="Obyajntext"/>
              <w:jc w:val="both"/>
            </w:pPr>
          </w:p>
        </w:tc>
        <w:tc>
          <w:tcPr>
            <w:tcW w:w="9214" w:type="dxa"/>
          </w:tcPr>
          <w:p w14:paraId="4A7D9AE3" w14:textId="77777777" w:rsidR="000C250D" w:rsidRPr="00456564" w:rsidRDefault="000C250D" w:rsidP="000C250D">
            <w:pPr>
              <w:jc w:val="both"/>
              <w:rPr>
                <w:color w:val="000000" w:themeColor="text1"/>
              </w:rPr>
            </w:pPr>
            <w:r w:rsidRPr="00456564">
              <w:rPr>
                <w:color w:val="000000" w:themeColor="text1"/>
              </w:rPr>
              <w:t>VO požaduje realizovať krajnicu  v SO 137 zo zeminy, čo uchádzač v ponuke aj ocení.</w:t>
            </w:r>
          </w:p>
          <w:p w14:paraId="592BC078" w14:textId="5FF8217D" w:rsidR="000C250D" w:rsidRPr="00497141" w:rsidRDefault="000C250D" w:rsidP="000C250D">
            <w:pPr>
              <w:pStyle w:val="Obyajntext"/>
              <w:jc w:val="both"/>
            </w:pPr>
          </w:p>
        </w:tc>
      </w:tr>
      <w:tr w:rsidR="000C250D" w:rsidRPr="00497141" w14:paraId="428A4648" w14:textId="77777777" w:rsidTr="00B26DC2">
        <w:tc>
          <w:tcPr>
            <w:tcW w:w="971" w:type="dxa"/>
            <w:shd w:val="clear" w:color="auto" w:fill="auto"/>
          </w:tcPr>
          <w:p w14:paraId="19D4ABD1" w14:textId="3A510816" w:rsidR="000C250D" w:rsidRPr="00497141" w:rsidRDefault="00677C37" w:rsidP="000C250D">
            <w:r>
              <w:t>154</w:t>
            </w:r>
            <w:r w:rsidR="000C250D" w:rsidRPr="00497141">
              <w:t>.</w:t>
            </w:r>
          </w:p>
        </w:tc>
        <w:tc>
          <w:tcPr>
            <w:tcW w:w="6117" w:type="dxa"/>
          </w:tcPr>
          <w:p w14:paraId="2EDBCE65" w14:textId="77777777" w:rsidR="000C250D" w:rsidRDefault="000C250D" w:rsidP="000C250D">
            <w:r>
              <w:t xml:space="preserve">K zamietavej odpovedi č.2 v otázke č.85 Uchádzač žiada Obstarávateľa o návod ako vykonať ohnutie 930 ks prútov pilót priemeru 20mm. Od tejto dodatočnej úpravy, neštandardne vykonávanej na stavbe po zabudovaní armokoša, závisí výrazné navýšenie ceny položky 02040223 Pilóty betónované na mieste s vytiahnutím pažnice, betonárska výstuž. Pre vylúčenie pochybnosti o inom spôsobe zabudovania armokoša Uchádzač uvádza, že nie je možné zabudovať armokoš s už ohnutými prútmi, pretože pre navrhované zahnutia presahujúce obrys pilóty nedokáže vytiahnuť výpažnicu pilóty pri odpažovaní. </w:t>
            </w:r>
          </w:p>
          <w:p w14:paraId="4189CA10" w14:textId="77777777" w:rsidR="000C250D" w:rsidRDefault="000C250D" w:rsidP="000C250D">
            <w:r>
              <w:t xml:space="preserve">Otázka: Ak je podmienkou dĺžka ukotvenia presahu prútov pilóty do základu, pripustí Obstarávateľ zahnutie smerom dovnútra armokoša? </w:t>
            </w:r>
          </w:p>
          <w:p w14:paraId="19DC8403" w14:textId="77777777" w:rsidR="000C250D" w:rsidRDefault="000C250D" w:rsidP="000C250D">
            <w:r>
              <w:t>Armokoš s takýmto zahnutím prútov nebude brániť odpažovaniu pilót pri výrobe.</w:t>
            </w:r>
          </w:p>
          <w:p w14:paraId="02E096B0" w14:textId="77777777" w:rsidR="000C250D" w:rsidRPr="00497141" w:rsidRDefault="000C250D" w:rsidP="000C250D">
            <w:pPr>
              <w:rPr>
                <w:rFonts w:ascii="Open Sans" w:hAnsi="Open Sans"/>
                <w:sz w:val="20"/>
                <w:szCs w:val="20"/>
                <w:shd w:val="clear" w:color="auto" w:fill="FFFFFF"/>
              </w:rPr>
            </w:pPr>
          </w:p>
        </w:tc>
        <w:tc>
          <w:tcPr>
            <w:tcW w:w="9214" w:type="dxa"/>
          </w:tcPr>
          <w:p w14:paraId="0AA69BA2" w14:textId="68F4E806" w:rsidR="000C250D" w:rsidRPr="00456564" w:rsidRDefault="000C250D" w:rsidP="000C250D">
            <w:pPr>
              <w:rPr>
                <w:color w:val="000000" w:themeColor="text1"/>
              </w:rPr>
            </w:pPr>
            <w:r w:rsidRPr="00456564">
              <w:rPr>
                <w:color w:val="000000" w:themeColor="text1"/>
              </w:rPr>
              <w:t xml:space="preserve">Vzhľadom k predpokladu prenosu vnútorných síl do celej šírky pásového základu, podmienke dostatočného zakotvenia výstuže pilót do pásového základu a obmedzeniam vyplývajúcim zo vzájomnej geometrickej polohy jednotlivých položiek (podmienka realizovateľnosti osadenia výstužných prútov pásového základu, resp. výstužných prútov steny krídla, medzi kotevnú výstuž pilót) je požiadavka na ukončenie (ohnutie) pozdĺžnych výstužných prútov pilóty smerom von z armokoša, tzn. v zmysle </w:t>
            </w:r>
            <w:r w:rsidR="00727D1C" w:rsidRPr="00456564">
              <w:rPr>
                <w:color w:val="000000" w:themeColor="text1"/>
              </w:rPr>
              <w:t xml:space="preserve">predloženej </w:t>
            </w:r>
            <w:r w:rsidRPr="00456564">
              <w:rPr>
                <w:color w:val="000000" w:themeColor="text1"/>
              </w:rPr>
              <w:t xml:space="preserve">PD. </w:t>
            </w:r>
          </w:p>
          <w:p w14:paraId="34AD4EB9" w14:textId="77777777" w:rsidR="000C250D" w:rsidRPr="00456564" w:rsidRDefault="000C250D" w:rsidP="000C250D">
            <w:pPr>
              <w:rPr>
                <w:color w:val="000000" w:themeColor="text1"/>
              </w:rPr>
            </w:pPr>
            <w:r w:rsidRPr="00456564">
              <w:rPr>
                <w:color w:val="000000" w:themeColor="text1"/>
              </w:rPr>
              <w:t>Platí PD.  </w:t>
            </w:r>
          </w:p>
          <w:p w14:paraId="7D01A0FF" w14:textId="624FB1FB" w:rsidR="000C250D" w:rsidRPr="00456564" w:rsidRDefault="000C250D" w:rsidP="000C250D">
            <w:pPr>
              <w:pStyle w:val="Obyajntext"/>
              <w:jc w:val="both"/>
              <w:rPr>
                <w:color w:val="000000" w:themeColor="text1"/>
              </w:rPr>
            </w:pPr>
          </w:p>
        </w:tc>
      </w:tr>
      <w:tr w:rsidR="000C250D" w:rsidRPr="00497141" w14:paraId="25FD4E27" w14:textId="77777777" w:rsidTr="00B26DC2">
        <w:tc>
          <w:tcPr>
            <w:tcW w:w="971" w:type="dxa"/>
            <w:shd w:val="clear" w:color="auto" w:fill="auto"/>
          </w:tcPr>
          <w:p w14:paraId="4DB71B70" w14:textId="1502E572" w:rsidR="000C250D" w:rsidRPr="00497141" w:rsidRDefault="00677C37" w:rsidP="000C250D">
            <w:r>
              <w:t>155</w:t>
            </w:r>
            <w:r w:rsidR="000C250D" w:rsidRPr="00497141">
              <w:t>.</w:t>
            </w:r>
          </w:p>
        </w:tc>
        <w:tc>
          <w:tcPr>
            <w:tcW w:w="6117" w:type="dxa"/>
          </w:tcPr>
          <w:p w14:paraId="06AE591E" w14:textId="77777777" w:rsidR="000C250D" w:rsidRDefault="000C250D" w:rsidP="000C250D">
            <w:r>
              <w:t xml:space="preserve">Vzhľadom na odpoveď 118, </w:t>
            </w:r>
          </w:p>
          <w:p w14:paraId="699D79E3" w14:textId="77777777" w:rsidR="000C250D" w:rsidRDefault="000C250D" w:rsidP="000C250D">
            <w:r>
              <w:t>1/ žiadame o potvrdenie že množstvo vo všeobecnej položke 112 sa navýšilo o množstvo lomového kameňa?</w:t>
            </w:r>
          </w:p>
          <w:p w14:paraId="5959D6D3" w14:textId="77777777" w:rsidR="000C250D" w:rsidRDefault="000C250D" w:rsidP="000C250D">
            <w:r>
              <w:t xml:space="preserve">2/ vzhľadom k množstvu v položke </w:t>
            </w:r>
          </w:p>
          <w:tbl>
            <w:tblPr>
              <w:tblW w:w="9880" w:type="dxa"/>
              <w:tblLayout w:type="fixed"/>
              <w:tblCellMar>
                <w:left w:w="0" w:type="dxa"/>
                <w:right w:w="0" w:type="dxa"/>
              </w:tblCellMar>
              <w:tblLook w:val="04A0" w:firstRow="1" w:lastRow="0" w:firstColumn="1" w:lastColumn="0" w:noHBand="0" w:noVBand="1"/>
            </w:tblPr>
            <w:tblGrid>
              <w:gridCol w:w="1120"/>
              <w:gridCol w:w="1260"/>
              <w:gridCol w:w="5760"/>
              <w:gridCol w:w="460"/>
              <w:gridCol w:w="1280"/>
            </w:tblGrid>
            <w:tr w:rsidR="000C250D" w14:paraId="699D521F" w14:textId="77777777" w:rsidTr="005A1B47">
              <w:trPr>
                <w:trHeight w:val="270"/>
              </w:trPr>
              <w:tc>
                <w:tcPr>
                  <w:tcW w:w="1120" w:type="dxa"/>
                  <w:tcBorders>
                    <w:top w:val="single" w:sz="8" w:space="0" w:color="000000"/>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669342ED" w14:textId="77777777" w:rsidR="000C250D" w:rsidRDefault="000C250D" w:rsidP="000C250D">
                  <w:pPr>
                    <w:spacing w:line="252" w:lineRule="auto"/>
                    <w:rPr>
                      <w:rFonts w:ascii="Trebuchet MS" w:hAnsi="Trebuchet MS"/>
                      <w:sz w:val="16"/>
                      <w:szCs w:val="16"/>
                      <w:lang w:eastAsia="sk-SK"/>
                    </w:rPr>
                  </w:pPr>
                  <w:r>
                    <w:rPr>
                      <w:rFonts w:ascii="Trebuchet MS" w:hAnsi="Trebuchet MS"/>
                      <w:sz w:val="16"/>
                      <w:szCs w:val="16"/>
                      <w:lang w:eastAsia="sk-SK"/>
                    </w:rPr>
                    <w:t>45.11.25</w:t>
                  </w:r>
                </w:p>
              </w:tc>
              <w:tc>
                <w:tcPr>
                  <w:tcW w:w="1260" w:type="dxa"/>
                  <w:tcBorders>
                    <w:top w:val="single" w:sz="8" w:space="0" w:color="000000"/>
                    <w:left w:val="nil"/>
                    <w:bottom w:val="single" w:sz="8" w:space="0" w:color="000000"/>
                    <w:right w:val="single" w:sz="8" w:space="0" w:color="000000"/>
                  </w:tcBorders>
                  <w:noWrap/>
                  <w:tcMar>
                    <w:top w:w="0" w:type="dxa"/>
                    <w:left w:w="70" w:type="dxa"/>
                    <w:bottom w:w="0" w:type="dxa"/>
                    <w:right w:w="70" w:type="dxa"/>
                  </w:tcMar>
                  <w:vAlign w:val="center"/>
                  <w:hideMark/>
                </w:tcPr>
                <w:p w14:paraId="3A7B7BFA" w14:textId="77777777" w:rsidR="000C250D" w:rsidRDefault="000C250D" w:rsidP="000C250D">
                  <w:pPr>
                    <w:spacing w:line="252" w:lineRule="auto"/>
                    <w:rPr>
                      <w:rFonts w:ascii="Trebuchet MS" w:hAnsi="Trebuchet MS"/>
                      <w:sz w:val="16"/>
                      <w:szCs w:val="16"/>
                      <w:lang w:eastAsia="sk-SK"/>
                    </w:rPr>
                  </w:pPr>
                  <w:r>
                    <w:rPr>
                      <w:rFonts w:ascii="Trebuchet MS" w:hAnsi="Trebuchet MS"/>
                      <w:sz w:val="16"/>
                      <w:szCs w:val="16"/>
                      <w:lang w:eastAsia="sk-SK"/>
                    </w:rPr>
                    <w:t>01060204</w:t>
                  </w:r>
                </w:p>
              </w:tc>
              <w:tc>
                <w:tcPr>
                  <w:tcW w:w="5760"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14:paraId="2E5005A8" w14:textId="77777777" w:rsidR="000C250D" w:rsidRDefault="000C250D" w:rsidP="000C250D">
                  <w:pPr>
                    <w:spacing w:line="252" w:lineRule="auto"/>
                    <w:rPr>
                      <w:rFonts w:ascii="Trebuchet MS" w:hAnsi="Trebuchet MS"/>
                      <w:sz w:val="16"/>
                      <w:szCs w:val="16"/>
                      <w:lang w:eastAsia="sk-SK"/>
                    </w:rPr>
                  </w:pPr>
                  <w:r>
                    <w:rPr>
                      <w:rFonts w:ascii="Trebuchet MS" w:hAnsi="Trebuchet MS"/>
                      <w:sz w:val="16"/>
                      <w:szCs w:val="16"/>
                      <w:lang w:eastAsia="sk-SK"/>
                    </w:rPr>
                    <w:t>Premiestnenie  vodorovné nad 3 000 m</w:t>
                  </w:r>
                </w:p>
              </w:tc>
              <w:tc>
                <w:tcPr>
                  <w:tcW w:w="460" w:type="dxa"/>
                  <w:tcBorders>
                    <w:top w:val="single" w:sz="8" w:space="0" w:color="000000"/>
                    <w:left w:val="nil"/>
                    <w:bottom w:val="single" w:sz="8" w:space="0" w:color="000000"/>
                    <w:right w:val="single" w:sz="8" w:space="0" w:color="000000"/>
                  </w:tcBorders>
                  <w:noWrap/>
                  <w:tcMar>
                    <w:top w:w="0" w:type="dxa"/>
                    <w:left w:w="70" w:type="dxa"/>
                    <w:bottom w:w="0" w:type="dxa"/>
                    <w:right w:w="70" w:type="dxa"/>
                  </w:tcMar>
                  <w:vAlign w:val="center"/>
                  <w:hideMark/>
                </w:tcPr>
                <w:p w14:paraId="4EF5BDB8" w14:textId="77777777" w:rsidR="000C250D" w:rsidRDefault="000C250D" w:rsidP="000C250D">
                  <w:pPr>
                    <w:spacing w:line="252" w:lineRule="auto"/>
                    <w:rPr>
                      <w:rFonts w:ascii="Trebuchet MS" w:hAnsi="Trebuchet MS"/>
                      <w:sz w:val="16"/>
                      <w:szCs w:val="16"/>
                      <w:lang w:eastAsia="sk-SK"/>
                    </w:rPr>
                  </w:pPr>
                  <w:r>
                    <w:rPr>
                      <w:rFonts w:ascii="Trebuchet MS" w:hAnsi="Trebuchet MS"/>
                      <w:sz w:val="16"/>
                      <w:szCs w:val="16"/>
                      <w:lang w:eastAsia="sk-SK"/>
                    </w:rPr>
                    <w:t>m3</w:t>
                  </w:r>
                </w:p>
              </w:tc>
              <w:tc>
                <w:tcPr>
                  <w:tcW w:w="1280" w:type="dxa"/>
                  <w:tcBorders>
                    <w:top w:val="single" w:sz="8" w:space="0" w:color="000000"/>
                    <w:left w:val="nil"/>
                    <w:bottom w:val="single" w:sz="8" w:space="0" w:color="000000"/>
                    <w:right w:val="single" w:sz="8" w:space="0" w:color="000000"/>
                  </w:tcBorders>
                  <w:noWrap/>
                  <w:tcMar>
                    <w:top w:w="0" w:type="dxa"/>
                    <w:left w:w="70" w:type="dxa"/>
                    <w:bottom w:w="0" w:type="dxa"/>
                    <w:right w:w="70" w:type="dxa"/>
                  </w:tcMar>
                  <w:vAlign w:val="center"/>
                  <w:hideMark/>
                </w:tcPr>
                <w:p w14:paraId="447C24D1" w14:textId="77777777" w:rsidR="000C250D" w:rsidRDefault="000C250D" w:rsidP="000C250D">
                  <w:pPr>
                    <w:spacing w:line="252" w:lineRule="auto"/>
                    <w:jc w:val="right"/>
                    <w:rPr>
                      <w:rFonts w:ascii="Trebuchet MS" w:hAnsi="Trebuchet MS"/>
                      <w:sz w:val="16"/>
                      <w:szCs w:val="16"/>
                      <w:lang w:eastAsia="sk-SK"/>
                    </w:rPr>
                  </w:pPr>
                  <w:r>
                    <w:rPr>
                      <w:rFonts w:ascii="Trebuchet MS" w:hAnsi="Trebuchet MS"/>
                      <w:sz w:val="16"/>
                      <w:szCs w:val="16"/>
                      <w:lang w:eastAsia="sk-SK"/>
                    </w:rPr>
                    <w:t>108,00</w:t>
                  </w:r>
                </w:p>
              </w:tc>
            </w:tr>
          </w:tbl>
          <w:p w14:paraId="53645430" w14:textId="77777777" w:rsidR="000C250D" w:rsidRDefault="000C250D" w:rsidP="000C250D">
            <w:r>
              <w:t>Máme zato že doprava 620m3 tam nie je zahrnutá.</w:t>
            </w:r>
          </w:p>
          <w:p w14:paraId="4AFEA8FA" w14:textId="77777777" w:rsidR="000C250D" w:rsidRDefault="000C250D" w:rsidP="000C250D">
            <w:r>
              <w:t xml:space="preserve">Žiadame o vysvetlenie, prípadne úpravu VV. </w:t>
            </w:r>
          </w:p>
          <w:p w14:paraId="467C93AA" w14:textId="77777777" w:rsidR="000C250D" w:rsidRPr="00497141" w:rsidRDefault="000C250D" w:rsidP="000C250D">
            <w:pPr>
              <w:tabs>
                <w:tab w:val="left" w:pos="567"/>
                <w:tab w:val="left" w:pos="851"/>
                <w:tab w:val="left" w:pos="1134"/>
                <w:tab w:val="left" w:pos="1276"/>
              </w:tabs>
              <w:spacing w:after="120"/>
              <w:jc w:val="both"/>
              <w:rPr>
                <w:rFonts w:ascii="Arial" w:eastAsia="Arial Unicode MS" w:hAnsi="Arial" w:cs="Arial"/>
                <w:sz w:val="20"/>
                <w:szCs w:val="20"/>
                <w:bdr w:val="none" w:sz="0" w:space="0" w:color="auto" w:frame="1"/>
              </w:rPr>
            </w:pPr>
          </w:p>
        </w:tc>
        <w:tc>
          <w:tcPr>
            <w:tcW w:w="9214" w:type="dxa"/>
          </w:tcPr>
          <w:p w14:paraId="5552BDC3" w14:textId="77777777" w:rsidR="000C250D" w:rsidRPr="00456564" w:rsidRDefault="000C250D" w:rsidP="00B26DC2">
            <w:pPr>
              <w:pStyle w:val="Odsekzoznamu"/>
              <w:numPr>
                <w:ilvl w:val="0"/>
                <w:numId w:val="17"/>
              </w:numPr>
              <w:ind w:left="319" w:hanging="319"/>
              <w:contextualSpacing w:val="0"/>
              <w:jc w:val="both"/>
              <w:rPr>
                <w:rFonts w:asciiTheme="minorHAnsi" w:eastAsiaTheme="minorHAnsi" w:hAnsiTheme="minorHAnsi" w:cstheme="minorBidi"/>
                <w:color w:val="000000" w:themeColor="text1"/>
                <w:sz w:val="22"/>
                <w:szCs w:val="22"/>
                <w:lang w:eastAsia="en-US"/>
              </w:rPr>
            </w:pPr>
            <w:r w:rsidRPr="00456564">
              <w:rPr>
                <w:rFonts w:asciiTheme="minorHAnsi" w:eastAsiaTheme="minorHAnsi" w:hAnsiTheme="minorHAnsi" w:cstheme="minorBidi"/>
                <w:color w:val="000000" w:themeColor="text1"/>
                <w:sz w:val="22"/>
                <w:szCs w:val="22"/>
                <w:lang w:eastAsia="en-US"/>
              </w:rPr>
              <w:t>Áno, množstvo vo všeobecnej položke 112 sa navýšilo o množstvo lomového kameňa</w:t>
            </w:r>
          </w:p>
          <w:p w14:paraId="6246BB01" w14:textId="77777777" w:rsidR="000C250D" w:rsidRPr="00456564" w:rsidRDefault="000C250D" w:rsidP="00B26DC2">
            <w:pPr>
              <w:pStyle w:val="Odsekzoznamu"/>
              <w:numPr>
                <w:ilvl w:val="0"/>
                <w:numId w:val="17"/>
              </w:numPr>
              <w:ind w:left="319" w:hanging="319"/>
              <w:contextualSpacing w:val="0"/>
              <w:jc w:val="both"/>
              <w:rPr>
                <w:rFonts w:asciiTheme="minorHAnsi" w:eastAsiaTheme="minorHAnsi" w:hAnsiTheme="minorHAnsi" w:cstheme="minorBidi"/>
                <w:color w:val="000000" w:themeColor="text1"/>
                <w:sz w:val="22"/>
                <w:szCs w:val="22"/>
                <w:lang w:eastAsia="en-US"/>
              </w:rPr>
            </w:pPr>
            <w:r w:rsidRPr="00456564">
              <w:rPr>
                <w:rFonts w:asciiTheme="minorHAnsi" w:eastAsiaTheme="minorHAnsi" w:hAnsiTheme="minorHAnsi" w:cstheme="minorBidi"/>
                <w:color w:val="000000" w:themeColor="text1"/>
                <w:sz w:val="22"/>
                <w:szCs w:val="22"/>
                <w:lang w:eastAsia="en-US"/>
              </w:rPr>
              <w:t>Doprava 620m3 je zahrnutá v tejto položke.</w:t>
            </w:r>
          </w:p>
          <w:p w14:paraId="4E80F50C" w14:textId="77777777" w:rsidR="000C250D" w:rsidRPr="00456564" w:rsidRDefault="000C250D" w:rsidP="000C250D">
            <w:pPr>
              <w:jc w:val="both"/>
              <w:rPr>
                <w:color w:val="000000" w:themeColor="text1"/>
              </w:rPr>
            </w:pPr>
          </w:p>
          <w:tbl>
            <w:tblPr>
              <w:tblW w:w="8553" w:type="dxa"/>
              <w:tblLayout w:type="fixed"/>
              <w:tblCellMar>
                <w:left w:w="70" w:type="dxa"/>
                <w:right w:w="70" w:type="dxa"/>
              </w:tblCellMar>
              <w:tblLook w:val="04A0" w:firstRow="1" w:lastRow="0" w:firstColumn="1" w:lastColumn="0" w:noHBand="0" w:noVBand="1"/>
            </w:tblPr>
            <w:tblGrid>
              <w:gridCol w:w="870"/>
              <w:gridCol w:w="1058"/>
              <w:gridCol w:w="3743"/>
              <w:gridCol w:w="787"/>
              <w:gridCol w:w="524"/>
              <w:gridCol w:w="1571"/>
            </w:tblGrid>
            <w:tr w:rsidR="00456564" w:rsidRPr="00456564" w14:paraId="611B88AC" w14:textId="77777777" w:rsidTr="00B26DC2">
              <w:trPr>
                <w:trHeight w:val="229"/>
              </w:trPr>
              <w:tc>
                <w:tcPr>
                  <w:tcW w:w="870" w:type="dxa"/>
                  <w:tcBorders>
                    <w:top w:val="nil"/>
                    <w:left w:val="single" w:sz="4" w:space="0" w:color="auto"/>
                    <w:bottom w:val="nil"/>
                    <w:right w:val="single" w:sz="4" w:space="0" w:color="auto"/>
                  </w:tcBorders>
                  <w:shd w:val="clear" w:color="auto" w:fill="auto"/>
                  <w:hideMark/>
                </w:tcPr>
                <w:p w14:paraId="4445A57A" w14:textId="77777777" w:rsidR="000C250D" w:rsidRPr="00456564" w:rsidRDefault="000C250D" w:rsidP="000C250D">
                  <w:pPr>
                    <w:rPr>
                      <w:rFonts w:ascii="Arial CE" w:eastAsia="Times New Roman" w:hAnsi="Arial CE" w:cs="Arial CE"/>
                      <w:b/>
                      <w:bCs/>
                      <w:color w:val="000000" w:themeColor="text1"/>
                      <w:sz w:val="16"/>
                      <w:szCs w:val="20"/>
                      <w:lang w:eastAsia="sk-SK"/>
                    </w:rPr>
                  </w:pPr>
                  <w:r w:rsidRPr="00456564">
                    <w:rPr>
                      <w:rFonts w:ascii="Arial CE" w:eastAsia="Times New Roman" w:hAnsi="Arial CE" w:cs="Arial CE"/>
                      <w:b/>
                      <w:bCs/>
                      <w:color w:val="000000" w:themeColor="text1"/>
                      <w:sz w:val="16"/>
                      <w:szCs w:val="20"/>
                      <w:lang w:eastAsia="sk-SK"/>
                    </w:rPr>
                    <w:t>05080200</w:t>
                  </w:r>
                </w:p>
              </w:tc>
              <w:tc>
                <w:tcPr>
                  <w:tcW w:w="1058" w:type="dxa"/>
                  <w:tcBorders>
                    <w:top w:val="nil"/>
                    <w:left w:val="nil"/>
                    <w:bottom w:val="nil"/>
                    <w:right w:val="single" w:sz="4" w:space="0" w:color="auto"/>
                  </w:tcBorders>
                  <w:shd w:val="clear" w:color="auto" w:fill="auto"/>
                  <w:hideMark/>
                </w:tcPr>
                <w:p w14:paraId="3EEA042D" w14:textId="77777777" w:rsidR="000C250D" w:rsidRPr="00456564" w:rsidRDefault="000C250D" w:rsidP="000C250D">
                  <w:pPr>
                    <w:jc w:val="center"/>
                    <w:rPr>
                      <w:rFonts w:ascii="Arial CE" w:eastAsia="Times New Roman" w:hAnsi="Arial CE" w:cs="Arial CE"/>
                      <w:b/>
                      <w:bCs/>
                      <w:color w:val="000000" w:themeColor="text1"/>
                      <w:sz w:val="16"/>
                      <w:szCs w:val="20"/>
                      <w:lang w:eastAsia="sk-SK"/>
                    </w:rPr>
                  </w:pPr>
                  <w:r w:rsidRPr="00456564">
                    <w:rPr>
                      <w:rFonts w:ascii="Arial CE" w:eastAsia="Times New Roman" w:hAnsi="Arial CE" w:cs="Arial CE"/>
                      <w:b/>
                      <w:bCs/>
                      <w:color w:val="000000" w:themeColor="text1"/>
                      <w:sz w:val="16"/>
                      <w:szCs w:val="20"/>
                      <w:lang w:eastAsia="sk-SK"/>
                    </w:rPr>
                    <w:t> </w:t>
                  </w:r>
                </w:p>
              </w:tc>
              <w:tc>
                <w:tcPr>
                  <w:tcW w:w="3743" w:type="dxa"/>
                  <w:tcBorders>
                    <w:top w:val="nil"/>
                    <w:left w:val="nil"/>
                    <w:bottom w:val="nil"/>
                    <w:right w:val="nil"/>
                  </w:tcBorders>
                  <w:shd w:val="clear" w:color="auto" w:fill="auto"/>
                  <w:hideMark/>
                </w:tcPr>
                <w:p w14:paraId="32AEF76F" w14:textId="77777777" w:rsidR="000C250D" w:rsidRPr="00456564" w:rsidRDefault="000C250D" w:rsidP="000C250D">
                  <w:pPr>
                    <w:rPr>
                      <w:rFonts w:ascii="Arial CE" w:eastAsia="Times New Roman" w:hAnsi="Arial CE" w:cs="Arial CE"/>
                      <w:b/>
                      <w:bCs/>
                      <w:color w:val="000000" w:themeColor="text1"/>
                      <w:sz w:val="16"/>
                      <w:szCs w:val="20"/>
                      <w:lang w:eastAsia="sk-SK"/>
                    </w:rPr>
                  </w:pPr>
                  <w:r w:rsidRPr="00456564">
                    <w:rPr>
                      <w:rFonts w:ascii="Arial CE" w:eastAsia="Times New Roman" w:hAnsi="Arial CE" w:cs="Arial CE"/>
                      <w:b/>
                      <w:bCs/>
                      <w:color w:val="000000" w:themeColor="text1"/>
                      <w:sz w:val="16"/>
                      <w:szCs w:val="20"/>
                      <w:lang w:eastAsia="sk-SK"/>
                    </w:rPr>
                    <w:t>Doprava vybúraných hmôt vodorovná</w:t>
                  </w:r>
                </w:p>
              </w:tc>
              <w:tc>
                <w:tcPr>
                  <w:tcW w:w="787" w:type="dxa"/>
                  <w:tcBorders>
                    <w:top w:val="nil"/>
                    <w:left w:val="nil"/>
                    <w:bottom w:val="nil"/>
                    <w:right w:val="nil"/>
                  </w:tcBorders>
                  <w:shd w:val="clear" w:color="auto" w:fill="auto"/>
                  <w:noWrap/>
                  <w:hideMark/>
                </w:tcPr>
                <w:p w14:paraId="7D5722EE" w14:textId="77777777" w:rsidR="000C250D" w:rsidRPr="00456564" w:rsidRDefault="000C250D" w:rsidP="000C250D">
                  <w:pPr>
                    <w:rPr>
                      <w:rFonts w:ascii="Arial CE" w:eastAsia="Times New Roman" w:hAnsi="Arial CE" w:cs="Arial CE"/>
                      <w:b/>
                      <w:bCs/>
                      <w:color w:val="000000" w:themeColor="text1"/>
                      <w:sz w:val="16"/>
                      <w:szCs w:val="20"/>
                      <w:lang w:eastAsia="sk-SK"/>
                    </w:rPr>
                  </w:pPr>
                </w:p>
              </w:tc>
              <w:tc>
                <w:tcPr>
                  <w:tcW w:w="524" w:type="dxa"/>
                  <w:tcBorders>
                    <w:top w:val="nil"/>
                    <w:left w:val="single" w:sz="4" w:space="0" w:color="auto"/>
                    <w:bottom w:val="nil"/>
                    <w:right w:val="single" w:sz="4" w:space="0" w:color="auto"/>
                  </w:tcBorders>
                  <w:shd w:val="clear" w:color="auto" w:fill="auto"/>
                  <w:hideMark/>
                </w:tcPr>
                <w:p w14:paraId="12E3FADA" w14:textId="77777777" w:rsidR="000C250D" w:rsidRPr="00456564" w:rsidRDefault="000C250D" w:rsidP="000C250D">
                  <w:pPr>
                    <w:jc w:val="center"/>
                    <w:rPr>
                      <w:rFonts w:ascii="Arial CE" w:eastAsia="Times New Roman" w:hAnsi="Arial CE" w:cs="Arial CE"/>
                      <w:b/>
                      <w:bCs/>
                      <w:color w:val="000000" w:themeColor="text1"/>
                      <w:sz w:val="16"/>
                      <w:szCs w:val="20"/>
                      <w:lang w:eastAsia="sk-SK"/>
                    </w:rPr>
                  </w:pPr>
                  <w:r w:rsidRPr="00456564">
                    <w:rPr>
                      <w:rFonts w:ascii="Arial CE" w:eastAsia="Times New Roman" w:hAnsi="Arial CE" w:cs="Arial CE"/>
                      <w:b/>
                      <w:bCs/>
                      <w:color w:val="000000" w:themeColor="text1"/>
                      <w:sz w:val="16"/>
                      <w:szCs w:val="20"/>
                      <w:lang w:eastAsia="sk-SK"/>
                    </w:rPr>
                    <w:t>t</w:t>
                  </w:r>
                </w:p>
              </w:tc>
              <w:tc>
                <w:tcPr>
                  <w:tcW w:w="1571" w:type="dxa"/>
                  <w:tcBorders>
                    <w:top w:val="nil"/>
                    <w:left w:val="nil"/>
                    <w:bottom w:val="nil"/>
                    <w:right w:val="single" w:sz="8" w:space="0" w:color="auto"/>
                  </w:tcBorders>
                  <w:shd w:val="clear" w:color="auto" w:fill="auto"/>
                  <w:noWrap/>
                  <w:hideMark/>
                </w:tcPr>
                <w:p w14:paraId="4F1B305F" w14:textId="77777777" w:rsidR="000C250D" w:rsidRPr="00456564" w:rsidRDefault="000C250D" w:rsidP="000C250D">
                  <w:pPr>
                    <w:jc w:val="right"/>
                    <w:rPr>
                      <w:rFonts w:ascii="Arial CE" w:eastAsia="Times New Roman" w:hAnsi="Arial CE" w:cs="Arial CE"/>
                      <w:b/>
                      <w:bCs/>
                      <w:color w:val="000000" w:themeColor="text1"/>
                      <w:sz w:val="16"/>
                      <w:szCs w:val="20"/>
                      <w:lang w:eastAsia="sk-SK"/>
                    </w:rPr>
                  </w:pPr>
                  <w:r w:rsidRPr="00456564">
                    <w:rPr>
                      <w:rFonts w:ascii="Arial CE" w:eastAsia="Times New Roman" w:hAnsi="Arial CE" w:cs="Arial CE"/>
                      <w:b/>
                      <w:bCs/>
                      <w:color w:val="000000" w:themeColor="text1"/>
                      <w:sz w:val="16"/>
                      <w:szCs w:val="20"/>
                      <w:lang w:eastAsia="sk-SK"/>
                    </w:rPr>
                    <w:t>2 097,23</w:t>
                  </w:r>
                </w:p>
              </w:tc>
            </w:tr>
            <w:tr w:rsidR="00456564" w:rsidRPr="00456564" w14:paraId="7D8DE967" w14:textId="77777777" w:rsidTr="00B26DC2">
              <w:trPr>
                <w:trHeight w:val="458"/>
              </w:trPr>
              <w:tc>
                <w:tcPr>
                  <w:tcW w:w="870" w:type="dxa"/>
                  <w:tcBorders>
                    <w:top w:val="nil"/>
                    <w:left w:val="single" w:sz="4" w:space="0" w:color="auto"/>
                    <w:bottom w:val="nil"/>
                    <w:right w:val="single" w:sz="4" w:space="0" w:color="auto"/>
                  </w:tcBorders>
                  <w:shd w:val="clear" w:color="auto" w:fill="auto"/>
                  <w:hideMark/>
                </w:tcPr>
                <w:p w14:paraId="7857185B" w14:textId="77777777" w:rsidR="000C250D" w:rsidRPr="00456564" w:rsidRDefault="000C250D" w:rsidP="000C250D">
                  <w:pPr>
                    <w:rPr>
                      <w:rFonts w:ascii="Arial CE" w:eastAsia="Times New Roman" w:hAnsi="Arial CE" w:cs="Arial CE"/>
                      <w:color w:val="000000" w:themeColor="text1"/>
                      <w:sz w:val="16"/>
                      <w:szCs w:val="20"/>
                      <w:lang w:eastAsia="sk-SK"/>
                    </w:rPr>
                  </w:pPr>
                  <w:r w:rsidRPr="00456564">
                    <w:rPr>
                      <w:rFonts w:ascii="Arial CE" w:eastAsia="Times New Roman" w:hAnsi="Arial CE" w:cs="Arial CE"/>
                      <w:color w:val="000000" w:themeColor="text1"/>
                      <w:sz w:val="16"/>
                      <w:szCs w:val="20"/>
                      <w:lang w:eastAsia="sk-SK"/>
                    </w:rPr>
                    <w:t> </w:t>
                  </w:r>
                </w:p>
              </w:tc>
              <w:tc>
                <w:tcPr>
                  <w:tcW w:w="1058" w:type="dxa"/>
                  <w:tcBorders>
                    <w:top w:val="nil"/>
                    <w:left w:val="nil"/>
                    <w:bottom w:val="nil"/>
                    <w:right w:val="single" w:sz="4" w:space="0" w:color="auto"/>
                  </w:tcBorders>
                  <w:shd w:val="clear" w:color="auto" w:fill="auto"/>
                  <w:hideMark/>
                </w:tcPr>
                <w:p w14:paraId="404E4E26" w14:textId="77777777" w:rsidR="000C250D" w:rsidRPr="00456564" w:rsidRDefault="000C250D" w:rsidP="000C250D">
                  <w:pPr>
                    <w:jc w:val="center"/>
                    <w:rPr>
                      <w:rFonts w:ascii="Arial CE" w:eastAsia="Times New Roman" w:hAnsi="Arial CE" w:cs="Arial CE"/>
                      <w:color w:val="000000" w:themeColor="text1"/>
                      <w:sz w:val="16"/>
                      <w:szCs w:val="20"/>
                      <w:lang w:eastAsia="sk-SK"/>
                    </w:rPr>
                  </w:pPr>
                  <w:r w:rsidRPr="00456564">
                    <w:rPr>
                      <w:rFonts w:ascii="Arial CE" w:eastAsia="Times New Roman" w:hAnsi="Arial CE" w:cs="Arial CE"/>
                      <w:color w:val="000000" w:themeColor="text1"/>
                      <w:sz w:val="16"/>
                      <w:szCs w:val="20"/>
                      <w:lang w:eastAsia="sk-SK"/>
                    </w:rPr>
                    <w:t>0508020003</w:t>
                  </w:r>
                </w:p>
              </w:tc>
              <w:tc>
                <w:tcPr>
                  <w:tcW w:w="3743" w:type="dxa"/>
                  <w:tcBorders>
                    <w:top w:val="nil"/>
                    <w:left w:val="nil"/>
                    <w:bottom w:val="nil"/>
                    <w:right w:val="nil"/>
                  </w:tcBorders>
                  <w:shd w:val="clear" w:color="auto" w:fill="auto"/>
                  <w:hideMark/>
                </w:tcPr>
                <w:p w14:paraId="1718E1A6" w14:textId="77777777" w:rsidR="000C250D" w:rsidRPr="00456564" w:rsidRDefault="000C250D" w:rsidP="000C250D">
                  <w:pPr>
                    <w:rPr>
                      <w:rFonts w:ascii="Arial CE" w:eastAsia="Times New Roman" w:hAnsi="Arial CE" w:cs="Arial CE"/>
                      <w:color w:val="000000" w:themeColor="text1"/>
                      <w:sz w:val="16"/>
                      <w:szCs w:val="20"/>
                      <w:lang w:eastAsia="sk-SK"/>
                    </w:rPr>
                  </w:pPr>
                  <w:r w:rsidRPr="00456564">
                    <w:rPr>
                      <w:rFonts w:ascii="Arial CE" w:eastAsia="Times New Roman" w:hAnsi="Arial CE" w:cs="Arial CE"/>
                      <w:color w:val="000000" w:themeColor="text1"/>
                      <w:sz w:val="16"/>
                      <w:szCs w:val="20"/>
                      <w:lang w:eastAsia="sk-SK"/>
                    </w:rPr>
                    <w:t>Doprava vybúraných hmôt vodorovná, nad 1 km</w:t>
                  </w:r>
                </w:p>
              </w:tc>
              <w:tc>
                <w:tcPr>
                  <w:tcW w:w="787" w:type="dxa"/>
                  <w:tcBorders>
                    <w:top w:val="nil"/>
                    <w:left w:val="nil"/>
                    <w:bottom w:val="nil"/>
                    <w:right w:val="nil"/>
                  </w:tcBorders>
                  <w:shd w:val="clear" w:color="auto" w:fill="auto"/>
                  <w:noWrap/>
                  <w:hideMark/>
                </w:tcPr>
                <w:p w14:paraId="3095489D" w14:textId="77777777" w:rsidR="000C250D" w:rsidRPr="00456564" w:rsidRDefault="000C250D" w:rsidP="000C250D">
                  <w:pPr>
                    <w:rPr>
                      <w:rFonts w:ascii="Arial CE" w:eastAsia="Times New Roman" w:hAnsi="Arial CE" w:cs="Arial CE"/>
                      <w:color w:val="000000" w:themeColor="text1"/>
                      <w:sz w:val="16"/>
                      <w:szCs w:val="20"/>
                      <w:lang w:eastAsia="sk-SK"/>
                    </w:rPr>
                  </w:pPr>
                </w:p>
              </w:tc>
              <w:tc>
                <w:tcPr>
                  <w:tcW w:w="524" w:type="dxa"/>
                  <w:tcBorders>
                    <w:top w:val="nil"/>
                    <w:left w:val="single" w:sz="4" w:space="0" w:color="auto"/>
                    <w:bottom w:val="nil"/>
                    <w:right w:val="single" w:sz="4" w:space="0" w:color="auto"/>
                  </w:tcBorders>
                  <w:shd w:val="clear" w:color="auto" w:fill="auto"/>
                  <w:hideMark/>
                </w:tcPr>
                <w:p w14:paraId="6A0F886C" w14:textId="77777777" w:rsidR="000C250D" w:rsidRPr="00456564" w:rsidRDefault="000C250D" w:rsidP="000C250D">
                  <w:pPr>
                    <w:jc w:val="center"/>
                    <w:rPr>
                      <w:rFonts w:ascii="Arial CE" w:eastAsia="Times New Roman" w:hAnsi="Arial CE" w:cs="Arial CE"/>
                      <w:color w:val="000000" w:themeColor="text1"/>
                      <w:sz w:val="16"/>
                      <w:szCs w:val="20"/>
                      <w:lang w:eastAsia="sk-SK"/>
                    </w:rPr>
                  </w:pPr>
                  <w:r w:rsidRPr="00456564">
                    <w:rPr>
                      <w:rFonts w:ascii="Arial CE" w:eastAsia="Times New Roman" w:hAnsi="Arial CE" w:cs="Arial CE"/>
                      <w:color w:val="000000" w:themeColor="text1"/>
                      <w:sz w:val="16"/>
                      <w:szCs w:val="20"/>
                      <w:lang w:eastAsia="sk-SK"/>
                    </w:rPr>
                    <w:t>t</w:t>
                  </w:r>
                </w:p>
              </w:tc>
              <w:tc>
                <w:tcPr>
                  <w:tcW w:w="1571" w:type="dxa"/>
                  <w:tcBorders>
                    <w:top w:val="nil"/>
                    <w:left w:val="nil"/>
                    <w:bottom w:val="nil"/>
                    <w:right w:val="single" w:sz="8" w:space="0" w:color="auto"/>
                  </w:tcBorders>
                  <w:shd w:val="clear" w:color="auto" w:fill="auto"/>
                  <w:noWrap/>
                  <w:hideMark/>
                </w:tcPr>
                <w:p w14:paraId="70F18BD2" w14:textId="77777777" w:rsidR="000C250D" w:rsidRPr="00456564" w:rsidRDefault="000C250D" w:rsidP="000C250D">
                  <w:pPr>
                    <w:jc w:val="right"/>
                    <w:rPr>
                      <w:rFonts w:ascii="Arial CE" w:eastAsia="Times New Roman" w:hAnsi="Arial CE" w:cs="Arial CE"/>
                      <w:color w:val="000000" w:themeColor="text1"/>
                      <w:sz w:val="16"/>
                      <w:szCs w:val="20"/>
                      <w:lang w:eastAsia="sk-SK"/>
                    </w:rPr>
                  </w:pPr>
                  <w:r w:rsidRPr="00456564">
                    <w:rPr>
                      <w:rFonts w:ascii="Arial CE" w:eastAsia="Times New Roman" w:hAnsi="Arial CE" w:cs="Arial CE"/>
                      <w:color w:val="000000" w:themeColor="text1"/>
                      <w:sz w:val="16"/>
                      <w:szCs w:val="20"/>
                      <w:lang w:eastAsia="sk-SK"/>
                    </w:rPr>
                    <w:t>2 097,23</w:t>
                  </w:r>
                </w:p>
              </w:tc>
            </w:tr>
            <w:tr w:rsidR="00456564" w:rsidRPr="00456564" w14:paraId="06ED6257" w14:textId="77777777" w:rsidTr="00B26DC2">
              <w:trPr>
                <w:trHeight w:val="458"/>
              </w:trPr>
              <w:tc>
                <w:tcPr>
                  <w:tcW w:w="870" w:type="dxa"/>
                  <w:tcBorders>
                    <w:top w:val="nil"/>
                    <w:left w:val="single" w:sz="4" w:space="0" w:color="auto"/>
                    <w:bottom w:val="nil"/>
                    <w:right w:val="single" w:sz="4" w:space="0" w:color="auto"/>
                  </w:tcBorders>
                  <w:shd w:val="clear" w:color="auto" w:fill="auto"/>
                  <w:hideMark/>
                </w:tcPr>
                <w:p w14:paraId="484006D5" w14:textId="77777777" w:rsidR="000C250D" w:rsidRPr="00456564" w:rsidRDefault="000C250D" w:rsidP="000C250D">
                  <w:pPr>
                    <w:rPr>
                      <w:rFonts w:ascii="Arial CE" w:eastAsia="Times New Roman" w:hAnsi="Arial CE" w:cs="Arial CE"/>
                      <w:color w:val="000000" w:themeColor="text1"/>
                      <w:sz w:val="16"/>
                      <w:szCs w:val="20"/>
                      <w:lang w:eastAsia="sk-SK"/>
                    </w:rPr>
                  </w:pPr>
                  <w:r w:rsidRPr="00456564">
                    <w:rPr>
                      <w:rFonts w:ascii="Arial CE" w:eastAsia="Times New Roman" w:hAnsi="Arial CE" w:cs="Arial CE"/>
                      <w:color w:val="000000" w:themeColor="text1"/>
                      <w:sz w:val="16"/>
                      <w:szCs w:val="20"/>
                      <w:lang w:eastAsia="sk-SK"/>
                    </w:rPr>
                    <w:t> </w:t>
                  </w:r>
                </w:p>
              </w:tc>
              <w:tc>
                <w:tcPr>
                  <w:tcW w:w="1058" w:type="dxa"/>
                  <w:tcBorders>
                    <w:top w:val="nil"/>
                    <w:left w:val="nil"/>
                    <w:bottom w:val="nil"/>
                    <w:right w:val="single" w:sz="4" w:space="0" w:color="auto"/>
                  </w:tcBorders>
                  <w:shd w:val="clear" w:color="auto" w:fill="auto"/>
                  <w:hideMark/>
                </w:tcPr>
                <w:p w14:paraId="5B53014E" w14:textId="77777777" w:rsidR="000C250D" w:rsidRPr="00456564" w:rsidRDefault="000C250D" w:rsidP="000C250D">
                  <w:pPr>
                    <w:jc w:val="center"/>
                    <w:rPr>
                      <w:rFonts w:ascii="Arial CE" w:eastAsia="Times New Roman" w:hAnsi="Arial CE" w:cs="Arial CE"/>
                      <w:color w:val="000000" w:themeColor="text1"/>
                      <w:sz w:val="16"/>
                      <w:szCs w:val="20"/>
                      <w:lang w:eastAsia="sk-SK"/>
                    </w:rPr>
                  </w:pPr>
                  <w:r w:rsidRPr="00456564">
                    <w:rPr>
                      <w:rFonts w:ascii="Arial CE" w:eastAsia="Times New Roman" w:hAnsi="Arial CE" w:cs="Arial CE"/>
                      <w:color w:val="000000" w:themeColor="text1"/>
                      <w:sz w:val="16"/>
                      <w:szCs w:val="20"/>
                      <w:lang w:eastAsia="sk-SK"/>
                    </w:rPr>
                    <w:t> </w:t>
                  </w:r>
                </w:p>
              </w:tc>
              <w:tc>
                <w:tcPr>
                  <w:tcW w:w="3743" w:type="dxa"/>
                  <w:tcBorders>
                    <w:top w:val="nil"/>
                    <w:left w:val="nil"/>
                    <w:bottom w:val="nil"/>
                    <w:right w:val="nil"/>
                  </w:tcBorders>
                  <w:shd w:val="clear" w:color="auto" w:fill="auto"/>
                  <w:hideMark/>
                </w:tcPr>
                <w:p w14:paraId="1A65E4B4" w14:textId="77777777" w:rsidR="000C250D" w:rsidRPr="00456564" w:rsidRDefault="000C250D" w:rsidP="000C250D">
                  <w:pPr>
                    <w:rPr>
                      <w:rFonts w:ascii="Arial CE" w:eastAsia="Times New Roman" w:hAnsi="Arial CE" w:cs="Arial CE"/>
                      <w:i/>
                      <w:iCs/>
                      <w:color w:val="000000" w:themeColor="text1"/>
                      <w:sz w:val="16"/>
                      <w:szCs w:val="20"/>
                      <w:lang w:eastAsia="sk-SK"/>
                    </w:rPr>
                  </w:pPr>
                  <w:r w:rsidRPr="00456564">
                    <w:rPr>
                      <w:rFonts w:ascii="Arial CE" w:eastAsia="Times New Roman" w:hAnsi="Arial CE" w:cs="Arial CE"/>
                      <w:i/>
                      <w:iCs/>
                      <w:color w:val="000000" w:themeColor="text1"/>
                      <w:sz w:val="16"/>
                      <w:szCs w:val="20"/>
                      <w:lang w:eastAsia="sk-SK"/>
                    </w:rPr>
                    <w:t xml:space="preserve"> - kamenná zahádzka v ohrádzke piliera pri dočasnom premostení :  2,1*(2*110+400)=</w:t>
                  </w:r>
                </w:p>
              </w:tc>
              <w:tc>
                <w:tcPr>
                  <w:tcW w:w="787" w:type="dxa"/>
                  <w:tcBorders>
                    <w:top w:val="nil"/>
                    <w:left w:val="nil"/>
                    <w:bottom w:val="nil"/>
                    <w:right w:val="nil"/>
                  </w:tcBorders>
                  <w:shd w:val="clear" w:color="auto" w:fill="auto"/>
                  <w:noWrap/>
                  <w:hideMark/>
                </w:tcPr>
                <w:p w14:paraId="52039F49" w14:textId="77777777" w:rsidR="000C250D" w:rsidRPr="00456564" w:rsidRDefault="000C250D" w:rsidP="000C250D">
                  <w:pPr>
                    <w:jc w:val="right"/>
                    <w:rPr>
                      <w:rFonts w:ascii="Arial CE" w:eastAsia="Times New Roman" w:hAnsi="Arial CE" w:cs="Arial CE"/>
                      <w:i/>
                      <w:iCs/>
                      <w:color w:val="000000" w:themeColor="text1"/>
                      <w:sz w:val="16"/>
                      <w:szCs w:val="20"/>
                      <w:lang w:eastAsia="sk-SK"/>
                    </w:rPr>
                  </w:pPr>
                  <w:r w:rsidRPr="00456564">
                    <w:rPr>
                      <w:rFonts w:ascii="Arial CE" w:eastAsia="Times New Roman" w:hAnsi="Arial CE" w:cs="Arial CE"/>
                      <w:i/>
                      <w:iCs/>
                      <w:color w:val="000000" w:themeColor="text1"/>
                      <w:sz w:val="16"/>
                      <w:szCs w:val="20"/>
                      <w:lang w:eastAsia="sk-SK"/>
                    </w:rPr>
                    <w:t>1 302,00</w:t>
                  </w:r>
                </w:p>
              </w:tc>
              <w:tc>
                <w:tcPr>
                  <w:tcW w:w="524" w:type="dxa"/>
                  <w:tcBorders>
                    <w:top w:val="nil"/>
                    <w:left w:val="single" w:sz="4" w:space="0" w:color="auto"/>
                    <w:bottom w:val="nil"/>
                    <w:right w:val="nil"/>
                  </w:tcBorders>
                  <w:shd w:val="clear" w:color="auto" w:fill="auto"/>
                  <w:hideMark/>
                </w:tcPr>
                <w:p w14:paraId="7002A1D0" w14:textId="77777777" w:rsidR="000C250D" w:rsidRPr="00456564" w:rsidRDefault="000C250D" w:rsidP="000C250D">
                  <w:pPr>
                    <w:jc w:val="center"/>
                    <w:rPr>
                      <w:rFonts w:ascii="Arial CE" w:eastAsia="Times New Roman" w:hAnsi="Arial CE" w:cs="Arial CE"/>
                      <w:color w:val="000000" w:themeColor="text1"/>
                      <w:sz w:val="16"/>
                      <w:szCs w:val="20"/>
                      <w:lang w:eastAsia="sk-SK"/>
                    </w:rPr>
                  </w:pPr>
                  <w:r w:rsidRPr="00456564">
                    <w:rPr>
                      <w:rFonts w:ascii="Arial CE" w:eastAsia="Times New Roman" w:hAnsi="Arial CE" w:cs="Arial CE"/>
                      <w:color w:val="000000" w:themeColor="text1"/>
                      <w:sz w:val="16"/>
                      <w:szCs w:val="20"/>
                      <w:lang w:eastAsia="sk-SK"/>
                    </w:rPr>
                    <w:t> </w:t>
                  </w:r>
                </w:p>
              </w:tc>
              <w:tc>
                <w:tcPr>
                  <w:tcW w:w="1571" w:type="dxa"/>
                  <w:tcBorders>
                    <w:top w:val="nil"/>
                    <w:left w:val="single" w:sz="4" w:space="0" w:color="auto"/>
                    <w:bottom w:val="nil"/>
                    <w:right w:val="single" w:sz="8" w:space="0" w:color="auto"/>
                  </w:tcBorders>
                  <w:shd w:val="clear" w:color="auto" w:fill="auto"/>
                  <w:noWrap/>
                  <w:hideMark/>
                </w:tcPr>
                <w:p w14:paraId="300690CA" w14:textId="77777777" w:rsidR="000C250D" w:rsidRPr="00456564" w:rsidRDefault="000C250D" w:rsidP="000C250D">
                  <w:pPr>
                    <w:jc w:val="right"/>
                    <w:rPr>
                      <w:rFonts w:ascii="Arial CE" w:eastAsia="Times New Roman" w:hAnsi="Arial CE" w:cs="Arial CE"/>
                      <w:color w:val="000000" w:themeColor="text1"/>
                      <w:sz w:val="16"/>
                      <w:szCs w:val="20"/>
                      <w:lang w:eastAsia="sk-SK"/>
                    </w:rPr>
                  </w:pPr>
                  <w:r w:rsidRPr="00456564">
                    <w:rPr>
                      <w:rFonts w:ascii="Arial CE" w:eastAsia="Times New Roman" w:hAnsi="Arial CE" w:cs="Arial CE"/>
                      <w:color w:val="000000" w:themeColor="text1"/>
                      <w:sz w:val="16"/>
                      <w:szCs w:val="20"/>
                      <w:lang w:eastAsia="sk-SK"/>
                    </w:rPr>
                    <w:t> </w:t>
                  </w:r>
                </w:p>
              </w:tc>
            </w:tr>
          </w:tbl>
          <w:p w14:paraId="5BE2459F" w14:textId="77777777" w:rsidR="000C250D" w:rsidRPr="00456564" w:rsidRDefault="000C250D" w:rsidP="000C250D">
            <w:pPr>
              <w:jc w:val="both"/>
              <w:rPr>
                <w:color w:val="000000" w:themeColor="text1"/>
              </w:rPr>
            </w:pPr>
          </w:p>
          <w:p w14:paraId="3439BC65" w14:textId="72F39CED" w:rsidR="000C250D" w:rsidRPr="00456564" w:rsidRDefault="000C250D" w:rsidP="000C250D">
            <w:pPr>
              <w:jc w:val="both"/>
              <w:rPr>
                <w:color w:val="000000" w:themeColor="text1"/>
              </w:rPr>
            </w:pPr>
          </w:p>
        </w:tc>
      </w:tr>
      <w:tr w:rsidR="000C250D" w:rsidRPr="00497141" w14:paraId="74341A16" w14:textId="77777777" w:rsidTr="00B26DC2">
        <w:tc>
          <w:tcPr>
            <w:tcW w:w="971" w:type="dxa"/>
            <w:shd w:val="clear" w:color="auto" w:fill="auto"/>
          </w:tcPr>
          <w:p w14:paraId="01ABF162" w14:textId="10D1C869" w:rsidR="000C250D" w:rsidRPr="00497141" w:rsidRDefault="00677C37" w:rsidP="000C250D">
            <w:r>
              <w:t>156</w:t>
            </w:r>
            <w:r w:rsidR="000C250D" w:rsidRPr="00497141">
              <w:t>.</w:t>
            </w:r>
          </w:p>
        </w:tc>
        <w:tc>
          <w:tcPr>
            <w:tcW w:w="6117" w:type="dxa"/>
          </w:tcPr>
          <w:p w14:paraId="15DBCC00" w14:textId="77777777" w:rsidR="000C250D" w:rsidRDefault="000C250D" w:rsidP="000C250D">
            <w:r>
              <w:t>Prečo obstarávateľ v rámci odpovede 118 žiada likvidáciu lomového kameňa na skládke, keď v ZTKP v bode 6.3 uvádza :</w:t>
            </w:r>
          </w:p>
          <w:p w14:paraId="2C2DEB80" w14:textId="77777777" w:rsidR="000C250D" w:rsidRDefault="000C250D" w:rsidP="000C250D">
            <w:r>
              <w:t>Ostatný odpad (O) zahŕňajúci vybúraný a vyzískaný materiál sa v rámci stavby bude recyklovať ?</w:t>
            </w:r>
          </w:p>
          <w:p w14:paraId="4C35D932" w14:textId="77777777" w:rsidR="000C250D" w:rsidRPr="00497141" w:rsidRDefault="000C250D" w:rsidP="000C250D">
            <w:pPr>
              <w:tabs>
                <w:tab w:val="left" w:pos="567"/>
                <w:tab w:val="left" w:pos="851"/>
                <w:tab w:val="left" w:pos="1134"/>
                <w:tab w:val="left" w:pos="1276"/>
              </w:tabs>
              <w:spacing w:after="120"/>
              <w:ind w:left="567" w:right="1131"/>
              <w:jc w:val="both"/>
              <w:rPr>
                <w:rFonts w:ascii="Arial" w:eastAsia="Arial" w:hAnsi="Arial" w:cs="Arial"/>
                <w:sz w:val="20"/>
                <w:szCs w:val="20"/>
                <w:bdr w:val="none" w:sz="0" w:space="0" w:color="auto" w:frame="1"/>
              </w:rPr>
            </w:pPr>
          </w:p>
        </w:tc>
        <w:tc>
          <w:tcPr>
            <w:tcW w:w="9214" w:type="dxa"/>
          </w:tcPr>
          <w:p w14:paraId="20DE38C6" w14:textId="77777777" w:rsidR="000C250D" w:rsidRPr="00456564" w:rsidRDefault="000C250D" w:rsidP="000C250D">
            <w:pPr>
              <w:jc w:val="both"/>
              <w:rPr>
                <w:color w:val="000000" w:themeColor="text1"/>
              </w:rPr>
            </w:pPr>
            <w:r w:rsidRPr="00456564">
              <w:rPr>
                <w:color w:val="000000" w:themeColor="text1"/>
              </w:rPr>
              <w:t>Nakoľko sa predpokladá odstránenie SO 829 Prístupovej cesty na stavenisko až na záver realizácie stavebných prác, vyzískaný materiál nebude možné na stavbe recyklovať.</w:t>
            </w:r>
          </w:p>
          <w:p w14:paraId="48DA27C2" w14:textId="06D8164E" w:rsidR="000C250D" w:rsidRPr="00456564" w:rsidRDefault="000C250D" w:rsidP="000C250D">
            <w:pPr>
              <w:pStyle w:val="Obyajntext"/>
              <w:jc w:val="both"/>
              <w:rPr>
                <w:color w:val="000000" w:themeColor="text1"/>
              </w:rPr>
            </w:pPr>
          </w:p>
        </w:tc>
      </w:tr>
      <w:tr w:rsidR="000C250D" w:rsidRPr="00497141" w14:paraId="28B28BFD" w14:textId="77777777" w:rsidTr="00B26DC2">
        <w:tc>
          <w:tcPr>
            <w:tcW w:w="971" w:type="dxa"/>
            <w:shd w:val="clear" w:color="auto" w:fill="auto"/>
          </w:tcPr>
          <w:p w14:paraId="0DD9AB51" w14:textId="6AD7DCE0" w:rsidR="000C250D" w:rsidRPr="00497141" w:rsidRDefault="00677C37" w:rsidP="000C250D">
            <w:r>
              <w:t>157</w:t>
            </w:r>
            <w:r w:rsidR="000C250D" w:rsidRPr="00497141">
              <w:t>.</w:t>
            </w:r>
          </w:p>
        </w:tc>
        <w:tc>
          <w:tcPr>
            <w:tcW w:w="6117" w:type="dxa"/>
          </w:tcPr>
          <w:p w14:paraId="04E8DD69" w14:textId="77777777" w:rsidR="000C250D" w:rsidRDefault="000C250D" w:rsidP="000C250D">
            <w:r>
              <w:t>V technickej správe SO 113 je uvedené nasledovné :</w:t>
            </w:r>
          </w:p>
          <w:p w14:paraId="7482BE76" w14:textId="77777777" w:rsidR="000C250D" w:rsidRDefault="000C250D" w:rsidP="000C250D">
            <w:pPr>
              <w:rPr>
                <w:sz w:val="14"/>
                <w:szCs w:val="14"/>
              </w:rPr>
            </w:pPr>
            <w:r>
              <w:t>„...Stavba ako celok vykazuje nedostatok násypového materiálu vo výške 116 300 m</w:t>
            </w:r>
            <w:r>
              <w:rPr>
                <w:sz w:val="14"/>
                <w:szCs w:val="14"/>
              </w:rPr>
              <w:t>3.</w:t>
            </w:r>
          </w:p>
          <w:p w14:paraId="56D1B358" w14:textId="77777777" w:rsidR="000C250D" w:rsidRDefault="000C250D" w:rsidP="000C250D">
            <w:r>
              <w:t>V projektovej dokumentácii sa uvažuje s dovozom z depónie obstarávateľa v množstve 88 320 m</w:t>
            </w:r>
            <w:r>
              <w:rPr>
                <w:sz w:val="14"/>
                <w:szCs w:val="14"/>
              </w:rPr>
              <w:t>3</w:t>
            </w:r>
            <w:r>
              <w:t>....“</w:t>
            </w:r>
          </w:p>
          <w:p w14:paraId="45DA282F" w14:textId="77777777" w:rsidR="000C250D" w:rsidRDefault="000C250D" w:rsidP="000C250D">
            <w:r>
              <w:t>V podrobnom výkaze výmer určujete vzdialenosť tohto zemníka : „ dovoz chýbajúcej zeminy z depónie obstarávateľa (33km)“</w:t>
            </w:r>
          </w:p>
          <w:p w14:paraId="5D447E85" w14:textId="77777777" w:rsidR="000C250D" w:rsidRDefault="000C250D" w:rsidP="000C250D"/>
          <w:p w14:paraId="27B6A04A" w14:textId="77777777" w:rsidR="000C250D" w:rsidRDefault="000C250D" w:rsidP="000C250D">
            <w:r>
              <w:t>Je uchádzač povinný dovážať zeminu z depónie obstarávateľa vzdialenej 33km, alebo môže použiť aj iný zemník ?</w:t>
            </w:r>
          </w:p>
          <w:p w14:paraId="3F2B0E85" w14:textId="77777777" w:rsidR="000C250D" w:rsidRPr="00497141" w:rsidRDefault="000C250D" w:rsidP="000C250D">
            <w:pPr>
              <w:jc w:val="both"/>
              <w:rPr>
                <w:b/>
                <w:bCs/>
              </w:rPr>
            </w:pPr>
          </w:p>
        </w:tc>
        <w:tc>
          <w:tcPr>
            <w:tcW w:w="9214" w:type="dxa"/>
          </w:tcPr>
          <w:p w14:paraId="71D8E412" w14:textId="403436A1" w:rsidR="000C250D" w:rsidRPr="00497141" w:rsidRDefault="00456564" w:rsidP="000C250D">
            <w:pPr>
              <w:pStyle w:val="Obyajntext"/>
              <w:jc w:val="both"/>
            </w:pPr>
            <w:r>
              <w:t xml:space="preserve">Áno, požadujeme dovážať zeminu z depónie obstarávateľa, </w:t>
            </w:r>
            <w:r w:rsidR="000C250D">
              <w:t>platia súťažné podklady.</w:t>
            </w:r>
            <w:r>
              <w:t xml:space="preserve"> Viď odpoveď na otázku č. 161.</w:t>
            </w:r>
          </w:p>
        </w:tc>
      </w:tr>
      <w:tr w:rsidR="000C250D" w:rsidRPr="00497141" w14:paraId="62D2016E" w14:textId="77777777" w:rsidTr="00B26DC2">
        <w:tc>
          <w:tcPr>
            <w:tcW w:w="971" w:type="dxa"/>
            <w:shd w:val="clear" w:color="auto" w:fill="auto"/>
          </w:tcPr>
          <w:p w14:paraId="64B12FB7" w14:textId="26F81E50" w:rsidR="000C250D" w:rsidRPr="00497141" w:rsidRDefault="00677C37" w:rsidP="000C250D">
            <w:r>
              <w:t>158</w:t>
            </w:r>
            <w:r w:rsidR="000C250D" w:rsidRPr="00497141">
              <w:t>.</w:t>
            </w:r>
          </w:p>
        </w:tc>
        <w:tc>
          <w:tcPr>
            <w:tcW w:w="6117" w:type="dxa"/>
          </w:tcPr>
          <w:p w14:paraId="70AF10A5" w14:textId="77777777" w:rsidR="000C250D" w:rsidRDefault="000C250D" w:rsidP="000C250D">
            <w:r>
              <w:t>V zväzku 5.1 Dokumentácia na realizáciu stavby, v časti Q Návrh POV, v Technickej správe, v stati 11. Starostlivosť o životné prostredie sa v opatreniach počas výstavby uvádza:</w:t>
            </w:r>
          </w:p>
          <w:p w14:paraId="071E8713" w14:textId="77777777" w:rsidR="000C250D" w:rsidRDefault="000C250D" w:rsidP="000C250D">
            <w:pPr>
              <w:pStyle w:val="Odsekzoznamu"/>
              <w:numPr>
                <w:ilvl w:val="0"/>
                <w:numId w:val="18"/>
              </w:numPr>
              <w:contextualSpacing w:val="0"/>
            </w:pPr>
            <w:r>
              <w:t>Vykonať opatrenia proti pôsobeniu hluku a prašnosti v blízkosti zástavby, vylúčiť práce v nočných hodinách</w:t>
            </w:r>
            <w:r>
              <w:rPr>
                <w:b/>
                <w:bCs/>
              </w:rPr>
              <w:t>, ako aj v dňoch pracovného pokoja</w:t>
            </w:r>
            <w:r>
              <w:t>.  </w:t>
            </w:r>
          </w:p>
          <w:p w14:paraId="3930A491" w14:textId="77777777" w:rsidR="000C250D" w:rsidRDefault="000C250D" w:rsidP="000C250D">
            <w:r>
              <w:t>1/ Chápe Uchádzač správne ak sa domnieva, že má vykonávať práce len v pracovných dňoch (pondelok až piatok)?</w:t>
            </w:r>
          </w:p>
          <w:p w14:paraId="1A261F27" w14:textId="77777777" w:rsidR="000C250D" w:rsidRDefault="000C250D" w:rsidP="000C250D">
            <w:r>
              <w:t>2/ Umožní objednávateľ prácu na mostoch SO 231, 232 a 246 aj cez víkendy ?</w:t>
            </w:r>
          </w:p>
          <w:p w14:paraId="19D435F8" w14:textId="77777777" w:rsidR="000C250D" w:rsidRPr="00497141" w:rsidRDefault="000C250D" w:rsidP="000C250D">
            <w:pPr>
              <w:jc w:val="both"/>
              <w:rPr>
                <w:b/>
                <w:bCs/>
              </w:rPr>
            </w:pPr>
          </w:p>
        </w:tc>
        <w:tc>
          <w:tcPr>
            <w:tcW w:w="9214" w:type="dxa"/>
          </w:tcPr>
          <w:p w14:paraId="11E6F3C1" w14:textId="36AF7C02" w:rsidR="00B26DC2" w:rsidRPr="00D22989" w:rsidRDefault="00B26DC2" w:rsidP="00A44AEC">
            <w:pPr>
              <w:jc w:val="both"/>
              <w:rPr>
                <w:color w:val="000000" w:themeColor="text1"/>
              </w:rPr>
            </w:pPr>
            <w:r w:rsidRPr="00D22989">
              <w:rPr>
                <w:color w:val="000000" w:themeColor="text1"/>
              </w:rPr>
              <w:t xml:space="preserve">Objednávateľ umožní prácu </w:t>
            </w:r>
            <w:r w:rsidR="0013453C" w:rsidRPr="00D22989">
              <w:rPr>
                <w:color w:val="000000" w:themeColor="text1"/>
              </w:rPr>
              <w:t>v dňoch pracovného pokoja a</w:t>
            </w:r>
            <w:r w:rsidR="00A44AEC" w:rsidRPr="00D22989">
              <w:rPr>
                <w:color w:val="000000" w:themeColor="text1"/>
              </w:rPr>
              <w:t> cez sviatky</w:t>
            </w:r>
            <w:r w:rsidRPr="00D22989">
              <w:rPr>
                <w:color w:val="000000" w:themeColor="text1"/>
              </w:rPr>
              <w:t>, ak</w:t>
            </w:r>
            <w:r w:rsidR="00A44AEC" w:rsidRPr="00D22989">
              <w:rPr>
                <w:color w:val="000000" w:themeColor="text1"/>
              </w:rPr>
              <w:t xml:space="preserve"> si</w:t>
            </w:r>
            <w:r w:rsidRPr="00D22989">
              <w:rPr>
                <w:color w:val="000000" w:themeColor="text1"/>
              </w:rPr>
              <w:t xml:space="preserve"> zhotoviteľ zabezpečí v tejto veci súhlasné stanovisko všetkých zainteresovaných orgánov a</w:t>
            </w:r>
            <w:r w:rsidR="0013453C" w:rsidRPr="00D22989">
              <w:rPr>
                <w:color w:val="000000" w:themeColor="text1"/>
              </w:rPr>
              <w:t> </w:t>
            </w:r>
            <w:r w:rsidRPr="00D22989">
              <w:rPr>
                <w:color w:val="000000" w:themeColor="text1"/>
              </w:rPr>
              <w:t>organizácií</w:t>
            </w:r>
            <w:r w:rsidR="0013453C" w:rsidRPr="00D22989">
              <w:rPr>
                <w:color w:val="000000" w:themeColor="text1"/>
              </w:rPr>
              <w:t>,</w:t>
            </w:r>
            <w:r w:rsidR="008B34CC" w:rsidRPr="00D22989">
              <w:rPr>
                <w:color w:val="000000" w:themeColor="text1"/>
              </w:rPr>
              <w:t xml:space="preserve"> </w:t>
            </w:r>
            <w:r w:rsidR="0013453C" w:rsidRPr="00D22989">
              <w:rPr>
                <w:color w:val="000000" w:themeColor="text1"/>
              </w:rPr>
              <w:t>v zmysle platnej legislatívy.</w:t>
            </w:r>
          </w:p>
          <w:p w14:paraId="7D272C0E" w14:textId="4BC6D2BD" w:rsidR="000C250D" w:rsidRPr="00D22989" w:rsidRDefault="000C250D" w:rsidP="000C250D">
            <w:pPr>
              <w:pStyle w:val="Obyajntext"/>
              <w:jc w:val="both"/>
              <w:rPr>
                <w:color w:val="000000" w:themeColor="text1"/>
              </w:rPr>
            </w:pPr>
          </w:p>
        </w:tc>
      </w:tr>
      <w:tr w:rsidR="000C250D" w:rsidRPr="00497141" w14:paraId="32335265" w14:textId="77777777" w:rsidTr="00B26DC2">
        <w:tc>
          <w:tcPr>
            <w:tcW w:w="971" w:type="dxa"/>
            <w:shd w:val="clear" w:color="auto" w:fill="auto"/>
          </w:tcPr>
          <w:p w14:paraId="2D8DCBFA" w14:textId="16B94024" w:rsidR="000C250D" w:rsidRPr="00497141" w:rsidRDefault="000C250D" w:rsidP="00932CC8">
            <w:r w:rsidRPr="00497141">
              <w:t>1</w:t>
            </w:r>
            <w:r w:rsidR="00932CC8">
              <w:t>59</w:t>
            </w:r>
            <w:r w:rsidRPr="00497141">
              <w:t>.</w:t>
            </w:r>
          </w:p>
        </w:tc>
        <w:tc>
          <w:tcPr>
            <w:tcW w:w="6117" w:type="dxa"/>
          </w:tcPr>
          <w:p w14:paraId="6C35A6DE" w14:textId="77777777" w:rsidR="00B26DC2" w:rsidRDefault="00B26DC2" w:rsidP="00B26DC2">
            <w:r>
              <w:t>V projektovej dokumentácii SO 376.1, príloha č.5 Výkres tvaru, je v detaile izolácie krídla vyznačený podkladný betón pod drenážnu rúru.</w:t>
            </w:r>
          </w:p>
          <w:p w14:paraId="614F8C41" w14:textId="77777777" w:rsidR="00B26DC2" w:rsidRDefault="00B26DC2" w:rsidP="00B26DC2">
            <w:r>
              <w:t>Vo výkaze výmer chýba vykázané množstvo debnenia podkladného betónu.</w:t>
            </w:r>
          </w:p>
          <w:p w14:paraId="43C49253" w14:textId="77777777" w:rsidR="00B26DC2" w:rsidRDefault="00B26DC2" w:rsidP="00B26DC2">
            <w:r>
              <w:t>Žiadame VO o doplnenie chýbajúcej položky debnenia do výkazu výmer.</w:t>
            </w:r>
          </w:p>
          <w:p w14:paraId="131C5AEC" w14:textId="77777777" w:rsidR="000C250D" w:rsidRPr="00497141" w:rsidRDefault="000C250D" w:rsidP="000C250D">
            <w:pPr>
              <w:jc w:val="both"/>
              <w:rPr>
                <w:b/>
                <w:bCs/>
              </w:rPr>
            </w:pPr>
          </w:p>
        </w:tc>
        <w:tc>
          <w:tcPr>
            <w:tcW w:w="9214" w:type="dxa"/>
          </w:tcPr>
          <w:p w14:paraId="752E41E7" w14:textId="6202792D" w:rsidR="00B26DC2" w:rsidRPr="00456564" w:rsidRDefault="00B26DC2" w:rsidP="00B26DC2">
            <w:pPr>
              <w:pStyle w:val="Odsekzoznamu"/>
              <w:ind w:left="284"/>
              <w:contextualSpacing w:val="0"/>
              <w:jc w:val="both"/>
              <w:rPr>
                <w:rFonts w:asciiTheme="minorHAnsi" w:eastAsiaTheme="minorHAnsi" w:hAnsiTheme="minorHAnsi" w:cstheme="minorBidi"/>
                <w:color w:val="000000" w:themeColor="text1"/>
                <w:sz w:val="22"/>
                <w:szCs w:val="22"/>
                <w:lang w:eastAsia="en-US"/>
              </w:rPr>
            </w:pPr>
            <w:r w:rsidRPr="00456564">
              <w:rPr>
                <w:rFonts w:asciiTheme="minorHAnsi" w:eastAsiaTheme="minorHAnsi" w:hAnsiTheme="minorHAnsi" w:cstheme="minorBidi"/>
                <w:color w:val="000000" w:themeColor="text1"/>
                <w:sz w:val="22"/>
                <w:szCs w:val="22"/>
                <w:lang w:eastAsia="en-US"/>
              </w:rPr>
              <w:t>Debnenie podkladného betónu je potrebné započítať do jed. c. pol. č. „02010221 Zlepšovanie základovej pôdy, lôžko pre trativody a vankúše pod základy, z betónu prostého“</w:t>
            </w:r>
          </w:p>
          <w:p w14:paraId="41D8B8B8" w14:textId="1498AED0" w:rsidR="000C250D" w:rsidRPr="00B26DC2" w:rsidRDefault="000C250D" w:rsidP="00B26DC2">
            <w:pPr>
              <w:pStyle w:val="Odsekzoznamu"/>
              <w:ind w:left="284"/>
              <w:contextualSpacing w:val="0"/>
              <w:jc w:val="both"/>
              <w:rPr>
                <w:rFonts w:asciiTheme="minorHAnsi" w:eastAsiaTheme="minorHAnsi" w:hAnsiTheme="minorHAnsi" w:cstheme="minorBidi"/>
                <w:color w:val="FF0000"/>
                <w:sz w:val="22"/>
                <w:szCs w:val="22"/>
                <w:lang w:eastAsia="en-US"/>
              </w:rPr>
            </w:pPr>
          </w:p>
        </w:tc>
      </w:tr>
      <w:tr w:rsidR="000C250D" w:rsidRPr="00497141" w14:paraId="1FB50F73" w14:textId="77777777" w:rsidTr="00B26DC2">
        <w:tc>
          <w:tcPr>
            <w:tcW w:w="971" w:type="dxa"/>
            <w:shd w:val="clear" w:color="auto" w:fill="auto"/>
          </w:tcPr>
          <w:p w14:paraId="75ECC794" w14:textId="416F0AEE" w:rsidR="000C250D" w:rsidRPr="00497141" w:rsidRDefault="000C250D" w:rsidP="00932CC8">
            <w:r w:rsidRPr="00497141">
              <w:t>1</w:t>
            </w:r>
            <w:r w:rsidR="00932CC8">
              <w:t>60</w:t>
            </w:r>
            <w:r w:rsidRPr="00497141">
              <w:t>.</w:t>
            </w:r>
          </w:p>
        </w:tc>
        <w:tc>
          <w:tcPr>
            <w:tcW w:w="6117" w:type="dxa"/>
          </w:tcPr>
          <w:p w14:paraId="03453D8F" w14:textId="77777777" w:rsidR="00B26DC2" w:rsidRDefault="00B26DC2" w:rsidP="00B26DC2">
            <w:r>
              <w:t>Vo výkaze výmer SO 246-00 je uvedená položka č.31080109 Objekty melioračné, zberná nádrž z plastov (vsakovacie bloky z plastu) v počte 2ks.</w:t>
            </w:r>
          </w:p>
          <w:p w14:paraId="1257590A" w14:textId="77777777" w:rsidR="00B26DC2" w:rsidRDefault="00B26DC2" w:rsidP="00B26DC2">
            <w:r>
              <w:t>Po preštudovaní projektovej dokumentácie však záujemca v PD nenašiel (príloha č.5.8) vsakovacie bloky z plastu, ale vsakovacie bloky z betónu tr.C25/30 o rozmere 3,0*3,0m, ktoré budú vyplnené štrkom 32-125mm.</w:t>
            </w:r>
          </w:p>
          <w:p w14:paraId="3BFF900E" w14:textId="77777777" w:rsidR="00B26DC2" w:rsidRDefault="00B26DC2" w:rsidP="00B26DC2">
            <w:r>
              <w:t>Ak sa záujemca domnieva správne, že vsakovacie bloky majú byť betónové, žiadame VO o vypustenie príslušnej položky týkajúcej sa plastových vsak.blokov a zároveň žiadame VO o doplnenie nových týkajúcich sa položiek bet.vsakovacích blokov (betón, debnenie, geotextília, prípadne prekrytie, ktoré je viditeľné v PD,...).</w:t>
            </w:r>
          </w:p>
          <w:p w14:paraId="047933BE" w14:textId="77777777" w:rsidR="000C250D" w:rsidRPr="00497141" w:rsidRDefault="000C250D" w:rsidP="000C250D">
            <w:pPr>
              <w:jc w:val="both"/>
              <w:rPr>
                <w:b/>
                <w:bCs/>
              </w:rPr>
            </w:pPr>
          </w:p>
        </w:tc>
        <w:tc>
          <w:tcPr>
            <w:tcW w:w="9214" w:type="dxa"/>
          </w:tcPr>
          <w:p w14:paraId="6D8BCB4A" w14:textId="2A49FC2C" w:rsidR="007E067E" w:rsidRPr="00456564" w:rsidRDefault="007E067E" w:rsidP="007E067E">
            <w:pPr>
              <w:pStyle w:val="Obyajntext"/>
              <w:rPr>
                <w:rFonts w:cs="Calibri"/>
                <w:color w:val="000000" w:themeColor="text1"/>
              </w:rPr>
            </w:pPr>
            <w:r w:rsidRPr="00456564">
              <w:rPr>
                <w:rFonts w:cs="Calibri"/>
                <w:color w:val="000000" w:themeColor="text1"/>
              </w:rPr>
              <w:t>Opravený výkaz výmer je v</w:t>
            </w:r>
            <w:r w:rsidR="00456564" w:rsidRPr="00456564">
              <w:rPr>
                <w:rFonts w:cs="Calibri"/>
                <w:color w:val="000000" w:themeColor="text1"/>
              </w:rPr>
              <w:t> </w:t>
            </w:r>
            <w:r w:rsidRPr="00456564">
              <w:rPr>
                <w:rFonts w:cs="Calibri"/>
                <w:color w:val="000000" w:themeColor="text1"/>
              </w:rPr>
              <w:t>prílohe</w:t>
            </w:r>
            <w:r w:rsidR="00456564" w:rsidRPr="00456564">
              <w:rPr>
                <w:rFonts w:cs="Calibri"/>
                <w:color w:val="000000" w:themeColor="text1"/>
              </w:rPr>
              <w:t>.</w:t>
            </w:r>
          </w:p>
          <w:p w14:paraId="38C2AEB4" w14:textId="2DDEE3F3" w:rsidR="000C250D" w:rsidRPr="00497141" w:rsidRDefault="000C250D" w:rsidP="004B0BE3">
            <w:pPr>
              <w:jc w:val="both"/>
            </w:pPr>
          </w:p>
        </w:tc>
      </w:tr>
      <w:tr w:rsidR="000C250D" w:rsidRPr="00497141" w14:paraId="31745BCC" w14:textId="77777777" w:rsidTr="00B26DC2">
        <w:tc>
          <w:tcPr>
            <w:tcW w:w="971" w:type="dxa"/>
          </w:tcPr>
          <w:p w14:paraId="001E8360" w14:textId="01F7D198" w:rsidR="000C250D" w:rsidRPr="00497141" w:rsidRDefault="000C250D" w:rsidP="00932CC8">
            <w:r w:rsidRPr="00497141">
              <w:t>1</w:t>
            </w:r>
            <w:r w:rsidR="00677C37">
              <w:t>6</w:t>
            </w:r>
            <w:r w:rsidR="00932CC8">
              <w:t>1</w:t>
            </w:r>
            <w:r w:rsidRPr="00497141">
              <w:t>.</w:t>
            </w:r>
          </w:p>
        </w:tc>
        <w:tc>
          <w:tcPr>
            <w:tcW w:w="6117" w:type="dxa"/>
          </w:tcPr>
          <w:p w14:paraId="50530CEB" w14:textId="77777777" w:rsidR="00B26DC2" w:rsidRDefault="00B26DC2" w:rsidP="00B26DC2">
            <w:r>
              <w:t xml:space="preserve">Z posudzovania činnosti, ktoré je zverejnené na dostupného portálu </w:t>
            </w:r>
            <w:hyperlink r:id="rId8" w:history="1">
              <w:r>
                <w:rPr>
                  <w:rStyle w:val="Hypertextovprepojenie"/>
                </w:rPr>
                <w:t>https://www.enviroportal.sk/</w:t>
              </w:r>
            </w:hyperlink>
            <w:r>
              <w:t xml:space="preserve"> nie je jednoznačné, či bola stavba posúdená aj ako </w:t>
            </w:r>
            <w:r>
              <w:rPr>
                <w:u w:val="single"/>
              </w:rPr>
              <w:t>zariadenie na zhodnocovanie odpadov</w:t>
            </w:r>
            <w:r>
              <w:t xml:space="preserve">. </w:t>
            </w:r>
          </w:p>
          <w:p w14:paraId="1D23814B" w14:textId="77777777" w:rsidR="00B26DC2" w:rsidRDefault="00B26DC2" w:rsidP="00B26DC2">
            <w:r>
              <w:t>Bez posúdenia aj tejto činnosti nebude možné získať súhlas na využitie zeminy z iných zdrojov.</w:t>
            </w:r>
          </w:p>
          <w:p w14:paraId="7623DFA0" w14:textId="77777777" w:rsidR="00B26DC2" w:rsidRDefault="00B26DC2" w:rsidP="00B26DC2">
            <w:r>
              <w:t>Žiadame o potvrdenie, že stavba bola posudzovaná aj takto.</w:t>
            </w:r>
          </w:p>
          <w:p w14:paraId="67266D07" w14:textId="77777777" w:rsidR="000C250D" w:rsidRPr="00497141" w:rsidRDefault="000C250D" w:rsidP="000C250D">
            <w:pPr>
              <w:jc w:val="both"/>
              <w:rPr>
                <w:b/>
                <w:bCs/>
              </w:rPr>
            </w:pPr>
          </w:p>
        </w:tc>
        <w:tc>
          <w:tcPr>
            <w:tcW w:w="9214" w:type="dxa"/>
          </w:tcPr>
          <w:p w14:paraId="31559671" w14:textId="008C61E3" w:rsidR="007501A1" w:rsidRDefault="007501A1" w:rsidP="007501A1">
            <w:pPr>
              <w:pStyle w:val="Obyajntext"/>
              <w:rPr>
                <w:color w:val="1F497D"/>
              </w:rPr>
            </w:pPr>
            <w:r>
              <w:t>Využitie zeminy z iného zdroja (depónie D3 Čadca - Bukov)  v posúdení zahrnuté je</w:t>
            </w:r>
            <w:r w:rsidR="00456564">
              <w:t>.</w:t>
            </w:r>
          </w:p>
          <w:p w14:paraId="03F1FBD2" w14:textId="77777777" w:rsidR="000B0EAB" w:rsidRDefault="007501A1" w:rsidP="007501A1">
            <w:pPr>
              <w:pStyle w:val="Obyajntext"/>
            </w:pPr>
            <w:r>
              <w:t xml:space="preserve">Verejný obstarávateľ požaduje zhodnocovať odpad mobilným zariadením v mieste </w:t>
            </w:r>
            <w:r w:rsidRPr="007501A1">
              <w:t>depónie D3 Čadca- Bukov</w:t>
            </w:r>
            <w:r>
              <w:t>. Zhotoviteľ, ktorý bude na vlastné náklady vykonávať zhodnocovanie mobilným zariadením na stavbe si musí zabezpečiť súhlas orgánu štátnej správy odpadového hospodárstva na zhodnocovanie odpadov alebo zneškodnenie odpadov mobilným zariadením. (t.z. zo stavby sa bude vyvážať zrecyklovaný stavebný materiál, ktorý je podmienečne vhodný do násypov , čiže stavebný materiál a nie odpad).</w:t>
            </w:r>
          </w:p>
          <w:p w14:paraId="34068881" w14:textId="27DC537C" w:rsidR="007501A1" w:rsidRPr="00456564" w:rsidRDefault="000B0EAB" w:rsidP="007501A1">
            <w:pPr>
              <w:pStyle w:val="Obyajntext"/>
              <w:rPr>
                <w:color w:val="000000" w:themeColor="text1"/>
              </w:rPr>
            </w:pPr>
            <w:r w:rsidRPr="00456564">
              <w:rPr>
                <w:color w:val="000000" w:themeColor="text1"/>
              </w:rPr>
              <w:t xml:space="preserve">Náklad spojený s realizáciou tejto činnosti zahrnie uchádzač do všeobec.položiek v zmysle Zv. 4, časti 4.1 Preambula. (viď. príloha) </w:t>
            </w:r>
          </w:p>
          <w:p w14:paraId="483196D6" w14:textId="5E15DB05" w:rsidR="007C305E" w:rsidRPr="00497141" w:rsidRDefault="007C305E" w:rsidP="004A0DBD">
            <w:pPr>
              <w:pStyle w:val="Obyajntext"/>
            </w:pPr>
          </w:p>
        </w:tc>
      </w:tr>
      <w:tr w:rsidR="000C250D" w:rsidRPr="00497141" w14:paraId="76C0FAB5" w14:textId="77777777" w:rsidTr="00B26DC2">
        <w:tc>
          <w:tcPr>
            <w:tcW w:w="971" w:type="dxa"/>
          </w:tcPr>
          <w:p w14:paraId="5E09461D" w14:textId="2B1268D3" w:rsidR="000C250D" w:rsidRPr="00497141" w:rsidRDefault="000C250D" w:rsidP="00932CC8">
            <w:r w:rsidRPr="003A3F12">
              <w:t>1</w:t>
            </w:r>
            <w:r w:rsidR="00677C37" w:rsidRPr="003A3F12">
              <w:t>6</w:t>
            </w:r>
            <w:r w:rsidR="00932CC8" w:rsidRPr="003A3F12">
              <w:t>2</w:t>
            </w:r>
            <w:r w:rsidRPr="003A3F12">
              <w:t>.</w:t>
            </w:r>
          </w:p>
        </w:tc>
        <w:tc>
          <w:tcPr>
            <w:tcW w:w="6117" w:type="dxa"/>
          </w:tcPr>
          <w:p w14:paraId="1CB25249" w14:textId="77777777" w:rsidR="00677C37" w:rsidRDefault="00677C37" w:rsidP="00677C37">
            <w:r>
              <w:rPr>
                <w:rFonts w:ascii="Open Sans" w:hAnsi="Open Sans"/>
                <w:color w:val="333333"/>
                <w:sz w:val="20"/>
                <w:szCs w:val="20"/>
              </w:rPr>
              <w:br/>
            </w:r>
            <w:r>
              <w:rPr>
                <w:rFonts w:ascii="Open Sans" w:hAnsi="Open Sans"/>
                <w:color w:val="333333"/>
                <w:sz w:val="20"/>
                <w:szCs w:val="20"/>
                <w:shd w:val="clear" w:color="auto" w:fill="FFFFFF"/>
              </w:rPr>
              <w:t>Vzhľadom na skutočnosť, že je na území Slovenskej republiky Vládou Slovenskej republiky vyhlásený núdzový stav podľa čl. 5 ústavného zákona č. 227/2002 Z. z. o bezpečnosti štátu v čase vojny, vojnového stavu, výnimočného stavu a núdzového stavu v znení neskorších predpisov vyhláseného uznesením vlády Slovenskej republiky č. 587 z 30. septembra 2020 v dôsledku šírenia nákazy a Uznesením Vlády Slovenskej republiky č. 808 z 31.12.2020, ktorým sa obmedzuje podľa čl. 5 ods. 3 písm. g) ústavného zákona č. 227/2002 Z. z. o bezpečnosti štátu v čase vojny, vojnového stavu, výnimočného stavu a núdzového stavu v znení neskorších predpisov na území Slovenskej republiky sloboda pohybu a pobytu zákazom vychádzania, čo so sebou prináša značné obmedzenia týkajúce sa stretávania, zhromažďovania osôb, obmedzenia otváracích hodín prevádzok, karanténne opatrenia a podobne, ktoré uchádzačov obmedzujú v prevádzke, v absolvovaní obhliadok stavieb, v príprave ponuky či v komunikácií s dodávateľmi prác alebo materiálov, si Vás dovoľujeme požiadať o predĺženie termínu predkladania ponúk o primeranú dobu z dôvodu trvania obmedzenia slobody pohybu a pobytu osôb zákazom vychádzania. Podľa § 10 ods. 1,2) zákona č. 343/2015 Z.z. o verejnom obstarávaní a o zmene a doplnení niektorých zákonov: „Verejný obstarávateľ a obstarávateľ sú povinní pri zadávaní zákaziek, koncesií a pri súťaži návrhov postupovať podľa tohto zákona. Verejný obstarávateľ a obstarávateľ musia dodržať princíp rovnakého zaobchádzania, princíp nediskriminácie hospodárskych subjektov, princíp transparentnosti, princíp proporcionality a princíp hospodárnosti a efektívnosti.</w:t>
            </w:r>
            <w:r>
              <w:rPr>
                <w:rFonts w:ascii="Open Sans" w:hAnsi="Open Sans"/>
                <w:color w:val="333333"/>
                <w:sz w:val="20"/>
                <w:szCs w:val="20"/>
              </w:rPr>
              <w:br/>
            </w:r>
            <w:r>
              <w:rPr>
                <w:rFonts w:ascii="Open Sans" w:hAnsi="Open Sans"/>
                <w:color w:val="333333"/>
                <w:sz w:val="20"/>
                <w:szCs w:val="20"/>
              </w:rPr>
              <w:br/>
            </w:r>
            <w:r>
              <w:rPr>
                <w:rFonts w:ascii="Open Sans" w:hAnsi="Open Sans"/>
                <w:color w:val="333333"/>
                <w:sz w:val="20"/>
                <w:szCs w:val="20"/>
                <w:shd w:val="clear" w:color="auto" w:fill="FFFFFF"/>
              </w:rPr>
              <w:t>Vyššie uvedené komplikácie uchádzačov spôsobené mimoriadnou udalosťou môžu podľa rôzneho stupňa dopadu na jeho fungovanie znamenať, že nebudú mať rovnaké možnosti v procese prípravy ponuky a preto táto skutočnosť môže ohroziť dodržanie povinnosti verejného obstarávateľa pri zabezpečení princípu rovnakého zaobchádzania, princípu nediskriminácie hospodárskych subjektov, princípu transparentnosti, princípu proporcionality a princípu hospodárnosti a efektívnosti.“</w:t>
            </w:r>
          </w:p>
          <w:p w14:paraId="69206D7D" w14:textId="734568C7" w:rsidR="000C250D" w:rsidRPr="00497141" w:rsidRDefault="000C250D" w:rsidP="000C250D">
            <w:pPr>
              <w:jc w:val="both"/>
            </w:pPr>
          </w:p>
        </w:tc>
        <w:tc>
          <w:tcPr>
            <w:tcW w:w="9214" w:type="dxa"/>
          </w:tcPr>
          <w:p w14:paraId="1C15433B" w14:textId="29F6E7D5" w:rsidR="000C250D" w:rsidRPr="00497141" w:rsidRDefault="001F75D3" w:rsidP="000C250D">
            <w:pPr>
              <w:jc w:val="both"/>
            </w:pPr>
            <w:r>
              <w:t>Verejný obstarávateľ predĺžil lehotu na predkladanie ponúk na 9.2.2021 a považuje ju za dostatočnú.</w:t>
            </w:r>
          </w:p>
        </w:tc>
      </w:tr>
      <w:tr w:rsidR="000C250D" w:rsidRPr="00497141" w14:paraId="5D7309BA" w14:textId="77777777" w:rsidTr="00B26DC2">
        <w:tc>
          <w:tcPr>
            <w:tcW w:w="971" w:type="dxa"/>
          </w:tcPr>
          <w:p w14:paraId="48B707F2" w14:textId="7A2CEA4F" w:rsidR="000C250D" w:rsidRPr="00497141" w:rsidRDefault="003A3F12" w:rsidP="000C250D">
            <w:r>
              <w:t>163</w:t>
            </w:r>
            <w:r w:rsidR="000C250D" w:rsidRPr="00497141">
              <w:t>.</w:t>
            </w:r>
          </w:p>
        </w:tc>
        <w:tc>
          <w:tcPr>
            <w:tcW w:w="6117" w:type="dxa"/>
          </w:tcPr>
          <w:p w14:paraId="38A474F9" w14:textId="51B27DB8" w:rsidR="000C250D" w:rsidRPr="00497141" w:rsidRDefault="00CF0AA0" w:rsidP="000C250D">
            <w:pPr>
              <w:jc w:val="both"/>
            </w:pPr>
            <w:r>
              <w:t>V SO 543 má byť v cene aj prepojenie potrubia DN 800 vr. tvaroviek a prírub potrebných k prepojeniu potrubia OC na TL LT v počte 2 kpl? Ak áno, žiadame o doplnenie položiek do VV a taktiež o doplnenie do PD.</w:t>
            </w:r>
          </w:p>
        </w:tc>
        <w:tc>
          <w:tcPr>
            <w:tcW w:w="9214" w:type="dxa"/>
          </w:tcPr>
          <w:p w14:paraId="20B5D18E" w14:textId="77777777" w:rsidR="001F6697" w:rsidRPr="00456564" w:rsidRDefault="001F6697" w:rsidP="001F6697">
            <w:pPr>
              <w:jc w:val="both"/>
              <w:rPr>
                <w:color w:val="000000" w:themeColor="text1"/>
              </w:rPr>
            </w:pPr>
            <w:r w:rsidRPr="00456564">
              <w:rPr>
                <w:color w:val="000000" w:themeColor="text1"/>
              </w:rPr>
              <w:t>Prepoj oceľ liatina je navrhnutý cez navarovaciu prírubu a izolačný spoj.</w:t>
            </w:r>
          </w:p>
          <w:p w14:paraId="18284F33" w14:textId="7A3505E1" w:rsidR="000C250D" w:rsidRPr="00497141" w:rsidRDefault="001F6697" w:rsidP="001F6697">
            <w:pPr>
              <w:jc w:val="both"/>
            </w:pPr>
            <w:r w:rsidRPr="00456564">
              <w:rPr>
                <w:color w:val="000000" w:themeColor="text1"/>
              </w:rPr>
              <w:t>Vo VV vykázané.</w:t>
            </w:r>
          </w:p>
        </w:tc>
      </w:tr>
      <w:tr w:rsidR="001F6697" w:rsidRPr="00497141" w14:paraId="5F12369C" w14:textId="77777777" w:rsidTr="00B26DC2">
        <w:tc>
          <w:tcPr>
            <w:tcW w:w="971" w:type="dxa"/>
          </w:tcPr>
          <w:p w14:paraId="0C214A32" w14:textId="1CACEF14" w:rsidR="001F6697" w:rsidRDefault="001F6697" w:rsidP="001F6697">
            <w:r>
              <w:t>164.</w:t>
            </w:r>
          </w:p>
        </w:tc>
        <w:tc>
          <w:tcPr>
            <w:tcW w:w="6117" w:type="dxa"/>
          </w:tcPr>
          <w:p w14:paraId="74282851" w14:textId="40EF7311" w:rsidR="001F6697" w:rsidRDefault="001F6697" w:rsidP="001F6697">
            <w:pPr>
              <w:jc w:val="both"/>
            </w:pPr>
            <w:r>
              <w:t>V SO 543 a 591 má byť v cene aj vypustenie odstavovanej časti vodovodu podľa podmienok SEVAKU? Ak áno, žiadame o doplnenie položiek do VV a taktiež o doplnenie do PD + stanovisko SEVAKU, ktoré sa týka tejto činnosti a ktoré v SP chýba.</w:t>
            </w:r>
          </w:p>
        </w:tc>
        <w:tc>
          <w:tcPr>
            <w:tcW w:w="9214" w:type="dxa"/>
          </w:tcPr>
          <w:p w14:paraId="11CD229F" w14:textId="5C2C30DC" w:rsidR="001F6697" w:rsidRPr="002931C6" w:rsidRDefault="00456564" w:rsidP="001F6697">
            <w:pPr>
              <w:jc w:val="both"/>
              <w:rPr>
                <w:color w:val="000000" w:themeColor="text1"/>
              </w:rPr>
            </w:pPr>
            <w:r w:rsidRPr="002931C6">
              <w:rPr>
                <w:color w:val="000000" w:themeColor="text1"/>
              </w:rPr>
              <w:t xml:space="preserve">Predmetné vyjadrenie SEVAK – u je súčasťou Zv. 5, časti 5.2 </w:t>
            </w:r>
            <w:r w:rsidR="001F6697" w:rsidRPr="002931C6">
              <w:rPr>
                <w:color w:val="000000" w:themeColor="text1"/>
              </w:rPr>
              <w:t>Vyjadrenie</w:t>
            </w:r>
            <w:r w:rsidR="002931C6" w:rsidRPr="002931C6">
              <w:rPr>
                <w:color w:val="000000" w:themeColor="text1"/>
              </w:rPr>
              <w:t xml:space="preserve"> orgánov a organizácii, </w:t>
            </w:r>
            <w:r w:rsidR="001F6697" w:rsidRPr="002931C6">
              <w:rPr>
                <w:color w:val="000000" w:themeColor="text1"/>
              </w:rPr>
              <w:t xml:space="preserve"> </w:t>
            </w:r>
            <w:r w:rsidR="002931C6" w:rsidRPr="002931C6">
              <w:rPr>
                <w:color w:val="000000" w:themeColor="text1"/>
              </w:rPr>
              <w:t>č.10.</w:t>
            </w:r>
          </w:p>
          <w:p w14:paraId="05B5FBB1" w14:textId="77777777" w:rsidR="001F6697" w:rsidRPr="002931C6" w:rsidRDefault="001F6697" w:rsidP="001F6697">
            <w:pPr>
              <w:jc w:val="both"/>
              <w:rPr>
                <w:color w:val="000000" w:themeColor="text1"/>
              </w:rPr>
            </w:pPr>
            <w:r w:rsidRPr="002931C6">
              <w:rPr>
                <w:color w:val="000000" w:themeColor="text1"/>
              </w:rPr>
              <w:t>Položka sa nebude dopĺňať do VV.</w:t>
            </w:r>
          </w:p>
          <w:p w14:paraId="181D7B49" w14:textId="6C577929" w:rsidR="001F6697" w:rsidRPr="002931C6" w:rsidRDefault="001F6697" w:rsidP="001F6697">
            <w:pPr>
              <w:jc w:val="both"/>
              <w:rPr>
                <w:color w:val="000000" w:themeColor="text1"/>
              </w:rPr>
            </w:pPr>
            <w:r w:rsidRPr="002931C6">
              <w:rPr>
                <w:color w:val="000000" w:themeColor="text1"/>
              </w:rPr>
              <w:t xml:space="preserve">V zmysle Preambuly Zväzku 4, časť 1.3 Jednotková cena položky (Pri určovaní  cien jednotlivých položiek  je potrebné venovať pozornosť všetkým prácam, zabudovaným materiálom a nadväzným činnostiam .....) – vypustenie potrubia a ostatné činnosti súvisiace s demontážou jestvujúce potrubia zahrnúť do pol..č. </w:t>
            </w:r>
          </w:p>
          <w:tbl>
            <w:tblPr>
              <w:tblW w:w="5680" w:type="dxa"/>
              <w:tblLayout w:type="fixed"/>
              <w:tblCellMar>
                <w:left w:w="70" w:type="dxa"/>
                <w:right w:w="70" w:type="dxa"/>
              </w:tblCellMar>
              <w:tblLook w:val="04A0" w:firstRow="1" w:lastRow="0" w:firstColumn="1" w:lastColumn="0" w:noHBand="0" w:noVBand="1"/>
            </w:tblPr>
            <w:tblGrid>
              <w:gridCol w:w="1143"/>
              <w:gridCol w:w="4537"/>
            </w:tblGrid>
            <w:tr w:rsidR="002931C6" w:rsidRPr="002931C6" w14:paraId="1959B5C2" w14:textId="77777777" w:rsidTr="00746AC5">
              <w:trPr>
                <w:trHeight w:val="765"/>
              </w:trPr>
              <w:tc>
                <w:tcPr>
                  <w:tcW w:w="1143" w:type="dxa"/>
                  <w:tcBorders>
                    <w:top w:val="nil"/>
                    <w:left w:val="single" w:sz="4" w:space="0" w:color="auto"/>
                    <w:bottom w:val="nil"/>
                    <w:right w:val="single" w:sz="4" w:space="0" w:color="auto"/>
                  </w:tcBorders>
                  <w:shd w:val="clear" w:color="auto" w:fill="auto"/>
                  <w:vAlign w:val="center"/>
                  <w:hideMark/>
                </w:tcPr>
                <w:p w14:paraId="6587722C" w14:textId="77777777" w:rsidR="001F6697" w:rsidRPr="002931C6" w:rsidRDefault="001F6697" w:rsidP="001F6697">
                  <w:pPr>
                    <w:spacing w:after="0" w:line="240" w:lineRule="auto"/>
                    <w:jc w:val="center"/>
                    <w:rPr>
                      <w:rFonts w:ascii="Arial CE" w:eastAsia="Times New Roman" w:hAnsi="Arial CE" w:cs="Times New Roman"/>
                      <w:color w:val="000000" w:themeColor="text1"/>
                      <w:sz w:val="20"/>
                      <w:szCs w:val="20"/>
                      <w:lang w:eastAsia="sk-SK"/>
                    </w:rPr>
                  </w:pPr>
                  <w:r w:rsidRPr="002931C6">
                    <w:rPr>
                      <w:rFonts w:ascii="Arial CE" w:eastAsia="Times New Roman" w:hAnsi="Arial CE" w:cs="Times New Roman"/>
                      <w:color w:val="000000" w:themeColor="text1"/>
                      <w:sz w:val="20"/>
                      <w:szCs w:val="20"/>
                      <w:lang w:eastAsia="sk-SK"/>
                    </w:rPr>
                    <w:t>0502034304</w:t>
                  </w:r>
                </w:p>
              </w:tc>
              <w:tc>
                <w:tcPr>
                  <w:tcW w:w="4537" w:type="dxa"/>
                  <w:tcBorders>
                    <w:top w:val="nil"/>
                    <w:left w:val="nil"/>
                    <w:bottom w:val="nil"/>
                    <w:right w:val="nil"/>
                  </w:tcBorders>
                  <w:shd w:val="clear" w:color="auto" w:fill="auto"/>
                  <w:vAlign w:val="center"/>
                  <w:hideMark/>
                </w:tcPr>
                <w:p w14:paraId="1833E15F" w14:textId="77777777" w:rsidR="001F6697" w:rsidRPr="002931C6" w:rsidRDefault="001F6697" w:rsidP="001F6697">
                  <w:pPr>
                    <w:spacing w:after="0" w:line="240" w:lineRule="auto"/>
                    <w:rPr>
                      <w:rFonts w:ascii="Arial CE" w:eastAsia="Times New Roman" w:hAnsi="Arial CE" w:cs="Times New Roman"/>
                      <w:color w:val="000000" w:themeColor="text1"/>
                      <w:sz w:val="20"/>
                      <w:szCs w:val="20"/>
                      <w:lang w:eastAsia="sk-SK"/>
                    </w:rPr>
                  </w:pPr>
                  <w:r w:rsidRPr="002931C6">
                    <w:rPr>
                      <w:rFonts w:ascii="Arial CE" w:eastAsia="Times New Roman" w:hAnsi="Arial CE" w:cs="Times New Roman"/>
                      <w:color w:val="000000" w:themeColor="text1"/>
                      <w:sz w:val="20"/>
                      <w:szCs w:val="20"/>
                      <w:lang w:eastAsia="sk-SK"/>
                    </w:rPr>
                    <w:t>Vybúranie, odstránenie konštrukcií - inštalačného vedenia a príslušenstva vodovodného z plastových rúrok</w:t>
                  </w:r>
                </w:p>
              </w:tc>
            </w:tr>
            <w:tr w:rsidR="002931C6" w:rsidRPr="002931C6" w14:paraId="567AEC44" w14:textId="77777777" w:rsidTr="00746AC5">
              <w:trPr>
                <w:trHeight w:val="765"/>
              </w:trPr>
              <w:tc>
                <w:tcPr>
                  <w:tcW w:w="1143" w:type="dxa"/>
                  <w:tcBorders>
                    <w:top w:val="nil"/>
                    <w:left w:val="single" w:sz="4" w:space="0" w:color="auto"/>
                    <w:bottom w:val="nil"/>
                    <w:right w:val="single" w:sz="4" w:space="0" w:color="auto"/>
                  </w:tcBorders>
                  <w:shd w:val="clear" w:color="auto" w:fill="auto"/>
                  <w:vAlign w:val="center"/>
                </w:tcPr>
                <w:p w14:paraId="219E8874" w14:textId="77777777" w:rsidR="001F6697" w:rsidRPr="002931C6" w:rsidRDefault="001F6697" w:rsidP="001F6697">
                  <w:pPr>
                    <w:spacing w:after="0" w:line="240" w:lineRule="auto"/>
                    <w:rPr>
                      <w:rFonts w:ascii="Arial CE" w:eastAsia="Times New Roman" w:hAnsi="Arial CE" w:cs="Times New Roman"/>
                      <w:color w:val="000000" w:themeColor="text1"/>
                      <w:sz w:val="20"/>
                      <w:szCs w:val="20"/>
                      <w:lang w:eastAsia="sk-SK"/>
                    </w:rPr>
                  </w:pPr>
                </w:p>
              </w:tc>
              <w:tc>
                <w:tcPr>
                  <w:tcW w:w="4537" w:type="dxa"/>
                  <w:tcBorders>
                    <w:top w:val="nil"/>
                    <w:left w:val="nil"/>
                    <w:bottom w:val="nil"/>
                    <w:right w:val="nil"/>
                  </w:tcBorders>
                  <w:shd w:val="clear" w:color="auto" w:fill="auto"/>
                  <w:vAlign w:val="center"/>
                </w:tcPr>
                <w:p w14:paraId="59E58DBA" w14:textId="77777777" w:rsidR="001F6697" w:rsidRPr="002931C6" w:rsidRDefault="001F6697" w:rsidP="001F6697">
                  <w:pPr>
                    <w:spacing w:after="0" w:line="240" w:lineRule="auto"/>
                    <w:rPr>
                      <w:rFonts w:ascii="Arial CE" w:eastAsia="Times New Roman" w:hAnsi="Arial CE" w:cs="Times New Roman"/>
                      <w:color w:val="000000" w:themeColor="text1"/>
                      <w:sz w:val="20"/>
                      <w:szCs w:val="20"/>
                      <w:lang w:eastAsia="sk-SK"/>
                    </w:rPr>
                  </w:pPr>
                </w:p>
              </w:tc>
            </w:tr>
          </w:tbl>
          <w:p w14:paraId="439FA88E" w14:textId="77777777" w:rsidR="001F6697" w:rsidRPr="002931C6" w:rsidRDefault="001F6697" w:rsidP="001F6697">
            <w:pPr>
              <w:jc w:val="both"/>
              <w:rPr>
                <w:color w:val="000000" w:themeColor="text1"/>
              </w:rPr>
            </w:pPr>
          </w:p>
        </w:tc>
      </w:tr>
      <w:tr w:rsidR="001F6697" w:rsidRPr="00497141" w14:paraId="077D18D1" w14:textId="77777777" w:rsidTr="00B26DC2">
        <w:tc>
          <w:tcPr>
            <w:tcW w:w="971" w:type="dxa"/>
          </w:tcPr>
          <w:p w14:paraId="37870CA1" w14:textId="70DEA1DD" w:rsidR="001F6697" w:rsidRDefault="001F6697" w:rsidP="001F6697">
            <w:r>
              <w:t>165.</w:t>
            </w:r>
          </w:p>
        </w:tc>
        <w:tc>
          <w:tcPr>
            <w:tcW w:w="6117" w:type="dxa"/>
          </w:tcPr>
          <w:p w14:paraId="52FC5A73" w14:textId="0AFCCB4C" w:rsidR="001F6697" w:rsidRDefault="001F6697" w:rsidP="001F6697">
            <w:pPr>
              <w:jc w:val="both"/>
            </w:pPr>
            <w:r>
              <w:t>SO 804 Chýbajú technické podmienky preložky od SSP-distribúcia. Žiadame o ich doplnenie, lebo sú potrebné pri tvorbe ceny.</w:t>
            </w:r>
          </w:p>
        </w:tc>
        <w:tc>
          <w:tcPr>
            <w:tcW w:w="9214" w:type="dxa"/>
          </w:tcPr>
          <w:p w14:paraId="307C77DD" w14:textId="44E590C4" w:rsidR="002931C6" w:rsidRPr="002931C6" w:rsidRDefault="001F6697" w:rsidP="002931C6">
            <w:pPr>
              <w:jc w:val="both"/>
              <w:rPr>
                <w:color w:val="000000" w:themeColor="text1"/>
              </w:rPr>
            </w:pPr>
            <w:r w:rsidRPr="002931C6">
              <w:rPr>
                <w:color w:val="000000" w:themeColor="text1"/>
              </w:rPr>
              <w:t>Technické podmienky sú uvedené vo vyjadrení k žiadosti o stanovisko k dokumentác</w:t>
            </w:r>
            <w:r w:rsidR="002931C6" w:rsidRPr="002931C6">
              <w:rPr>
                <w:color w:val="000000" w:themeColor="text1"/>
              </w:rPr>
              <w:t>ii pre stavebné konanie, ktoré je súčasťou Zv. 5, časti 5.2 Vyjadrenie orgánov a organizácii,  č.5.</w:t>
            </w:r>
          </w:p>
          <w:p w14:paraId="3626BF13" w14:textId="305B0FDE" w:rsidR="001F6697" w:rsidRPr="002931C6" w:rsidRDefault="001F6697" w:rsidP="001F6697">
            <w:pPr>
              <w:jc w:val="both"/>
              <w:rPr>
                <w:color w:val="000000" w:themeColor="text1"/>
              </w:rPr>
            </w:pPr>
          </w:p>
        </w:tc>
      </w:tr>
      <w:tr w:rsidR="001F6697" w:rsidRPr="00497141" w14:paraId="07B4FEF3" w14:textId="77777777" w:rsidTr="00B26DC2">
        <w:tc>
          <w:tcPr>
            <w:tcW w:w="971" w:type="dxa"/>
          </w:tcPr>
          <w:p w14:paraId="652DC664" w14:textId="35CBCE05" w:rsidR="001F6697" w:rsidRDefault="001F6697" w:rsidP="001F6697">
            <w:r>
              <w:t>166.</w:t>
            </w:r>
          </w:p>
        </w:tc>
        <w:tc>
          <w:tcPr>
            <w:tcW w:w="6117" w:type="dxa"/>
          </w:tcPr>
          <w:p w14:paraId="2820DA93" w14:textId="5A13E56F" w:rsidR="001F6697" w:rsidRDefault="001F6697" w:rsidP="001F6697">
            <w:pPr>
              <w:jc w:val="both"/>
            </w:pPr>
            <w:r>
              <w:t>SO 804 Žiadame vysvetliť, čo má obsahovať položka „Nedeštruktívne skúšky zvarov“, nakoľko plynovod je z HDPE potrubia a tam sa okrem vizuálnej kontroly VT-ThP iná nevykonáva.</w:t>
            </w:r>
          </w:p>
        </w:tc>
        <w:tc>
          <w:tcPr>
            <w:tcW w:w="9214" w:type="dxa"/>
          </w:tcPr>
          <w:p w14:paraId="0F6DF0A1" w14:textId="4A929520" w:rsidR="001F6697" w:rsidRPr="00497141" w:rsidRDefault="001F6697" w:rsidP="001F6697">
            <w:pPr>
              <w:jc w:val="both"/>
            </w:pPr>
            <w:r w:rsidRPr="002931C6">
              <w:rPr>
                <w:color w:val="000000" w:themeColor="text1"/>
              </w:rPr>
              <w:t>Ide o vizuálnu kontrolu spojov potrubia.</w:t>
            </w:r>
          </w:p>
        </w:tc>
      </w:tr>
      <w:tr w:rsidR="001F6697" w:rsidRPr="00497141" w14:paraId="25FC8EB4" w14:textId="77777777" w:rsidTr="00B26DC2">
        <w:tc>
          <w:tcPr>
            <w:tcW w:w="971" w:type="dxa"/>
          </w:tcPr>
          <w:p w14:paraId="45A55511" w14:textId="0604C551" w:rsidR="001F6697" w:rsidRDefault="001F6697" w:rsidP="001F6697">
            <w:r>
              <w:t>167.</w:t>
            </w:r>
          </w:p>
        </w:tc>
        <w:tc>
          <w:tcPr>
            <w:tcW w:w="6117" w:type="dxa"/>
          </w:tcPr>
          <w:p w14:paraId="72BD4E21" w14:textId="69D14437" w:rsidR="001F6697" w:rsidRDefault="001F6697" w:rsidP="001F6697">
            <w:pPr>
              <w:jc w:val="both"/>
            </w:pPr>
            <w:r>
              <w:t>SO 804 V PD, TS je uvedená odkopávka ornice 0,3 x 15 m x dĺžka, vo VV však táto položka chýba. Žiadame o jej doplnenie s presne uvedeným množstvom v m3.</w:t>
            </w:r>
          </w:p>
        </w:tc>
        <w:tc>
          <w:tcPr>
            <w:tcW w:w="9214" w:type="dxa"/>
          </w:tcPr>
          <w:p w14:paraId="443ECE49" w14:textId="77777777" w:rsidR="001F6697" w:rsidRPr="00104BBA" w:rsidRDefault="001F6697" w:rsidP="001F6697">
            <w:pPr>
              <w:jc w:val="both"/>
              <w:rPr>
                <w:color w:val="000000" w:themeColor="text1"/>
              </w:rPr>
            </w:pPr>
            <w:r w:rsidRPr="00104BBA">
              <w:rPr>
                <w:color w:val="000000" w:themeColor="text1"/>
              </w:rPr>
              <w:t>V PD 804, ani v TS sa neuvádza odstránenie ornice.</w:t>
            </w:r>
          </w:p>
          <w:p w14:paraId="636B49D6" w14:textId="387CA052" w:rsidR="001F6697" w:rsidRPr="00104BBA" w:rsidRDefault="001F6697" w:rsidP="001F6697">
            <w:pPr>
              <w:jc w:val="both"/>
              <w:rPr>
                <w:color w:val="000000" w:themeColor="text1"/>
              </w:rPr>
            </w:pPr>
            <w:r w:rsidRPr="00104BBA">
              <w:rPr>
                <w:color w:val="000000" w:themeColor="text1"/>
              </w:rPr>
              <w:t>Platí VV a PD.</w:t>
            </w:r>
          </w:p>
        </w:tc>
      </w:tr>
      <w:tr w:rsidR="001F6697" w:rsidRPr="00497141" w14:paraId="6480EFCA" w14:textId="77777777" w:rsidTr="00B26DC2">
        <w:tc>
          <w:tcPr>
            <w:tcW w:w="971" w:type="dxa"/>
          </w:tcPr>
          <w:p w14:paraId="726A5DAD" w14:textId="7995FDB6" w:rsidR="001F6697" w:rsidRDefault="001F6697" w:rsidP="001F6697">
            <w:r>
              <w:t>168.</w:t>
            </w:r>
          </w:p>
        </w:tc>
        <w:tc>
          <w:tcPr>
            <w:tcW w:w="6117" w:type="dxa"/>
          </w:tcPr>
          <w:p w14:paraId="7598AB55" w14:textId="52CDD4F3" w:rsidR="001F6697" w:rsidRDefault="001F6697" w:rsidP="001F6697">
            <w:pPr>
              <w:jc w:val="both"/>
            </w:pPr>
            <w:r>
              <w:t>SO 804 Podľa nás chýba vo VV položka na uzatvorenie plynovodu balónovaním do DN150/d160 v počte 12 kpl.</w:t>
            </w:r>
          </w:p>
        </w:tc>
        <w:tc>
          <w:tcPr>
            <w:tcW w:w="9214" w:type="dxa"/>
          </w:tcPr>
          <w:p w14:paraId="371D35DE" w14:textId="6F0CFA23" w:rsidR="001F6697" w:rsidRPr="002931C6" w:rsidRDefault="001F6697" w:rsidP="001F6697">
            <w:pPr>
              <w:rPr>
                <w:color w:val="000000" w:themeColor="text1"/>
              </w:rPr>
            </w:pPr>
            <w:r w:rsidRPr="002931C6">
              <w:rPr>
                <w:color w:val="000000" w:themeColor="text1"/>
              </w:rPr>
              <w:t>Položka nechýba, súvisiace pracovné činnosti (uzatvorenie plynovodu balónovaním) je potrebné započítať do hl</w:t>
            </w:r>
            <w:r w:rsidR="002931C6" w:rsidRPr="002931C6">
              <w:rPr>
                <w:color w:val="000000" w:themeColor="text1"/>
              </w:rPr>
              <w:t xml:space="preserve">avnej pracovnej činnosti </w:t>
            </w:r>
            <w:r w:rsidRPr="002931C6">
              <w:rPr>
                <w:color w:val="000000" w:themeColor="text1"/>
              </w:rPr>
              <w:t xml:space="preserve">pol. č. </w:t>
            </w:r>
          </w:p>
          <w:tbl>
            <w:tblPr>
              <w:tblW w:w="5680" w:type="dxa"/>
              <w:tblLayout w:type="fixed"/>
              <w:tblCellMar>
                <w:left w:w="70" w:type="dxa"/>
                <w:right w:w="70" w:type="dxa"/>
              </w:tblCellMar>
              <w:tblLook w:val="04A0" w:firstRow="1" w:lastRow="0" w:firstColumn="1" w:lastColumn="0" w:noHBand="0" w:noVBand="1"/>
            </w:tblPr>
            <w:tblGrid>
              <w:gridCol w:w="1143"/>
              <w:gridCol w:w="4537"/>
            </w:tblGrid>
            <w:tr w:rsidR="002931C6" w:rsidRPr="002931C6" w14:paraId="5C7BC13A" w14:textId="77777777" w:rsidTr="00746AC5">
              <w:trPr>
                <w:trHeight w:val="510"/>
              </w:trPr>
              <w:tc>
                <w:tcPr>
                  <w:tcW w:w="1143" w:type="dxa"/>
                  <w:tcBorders>
                    <w:top w:val="nil"/>
                    <w:left w:val="single" w:sz="4" w:space="0" w:color="auto"/>
                    <w:bottom w:val="nil"/>
                    <w:right w:val="single" w:sz="4" w:space="0" w:color="auto"/>
                  </w:tcBorders>
                  <w:shd w:val="clear" w:color="auto" w:fill="auto"/>
                  <w:vAlign w:val="center"/>
                  <w:hideMark/>
                </w:tcPr>
                <w:p w14:paraId="76A85897" w14:textId="77777777" w:rsidR="001F6697" w:rsidRPr="002931C6" w:rsidRDefault="001F6697" w:rsidP="001F6697">
                  <w:pPr>
                    <w:spacing w:after="0" w:line="240" w:lineRule="auto"/>
                    <w:rPr>
                      <w:rFonts w:ascii="Arial CE" w:eastAsia="Times New Roman" w:hAnsi="Arial CE" w:cs="Times New Roman"/>
                      <w:color w:val="000000" w:themeColor="text1"/>
                      <w:sz w:val="20"/>
                      <w:szCs w:val="20"/>
                      <w:lang w:eastAsia="sk-SK"/>
                    </w:rPr>
                  </w:pPr>
                  <w:r w:rsidRPr="002931C6">
                    <w:rPr>
                      <w:rFonts w:ascii="Arial CE" w:eastAsia="Times New Roman" w:hAnsi="Arial CE" w:cs="Times New Roman"/>
                      <w:color w:val="000000" w:themeColor="text1"/>
                      <w:sz w:val="20"/>
                      <w:szCs w:val="20"/>
                      <w:lang w:eastAsia="sk-SK"/>
                    </w:rPr>
                    <w:t>2701128306</w:t>
                  </w:r>
                </w:p>
              </w:tc>
              <w:tc>
                <w:tcPr>
                  <w:tcW w:w="4537" w:type="dxa"/>
                  <w:tcBorders>
                    <w:top w:val="nil"/>
                    <w:left w:val="nil"/>
                    <w:bottom w:val="nil"/>
                    <w:right w:val="nil"/>
                  </w:tcBorders>
                  <w:shd w:val="clear" w:color="auto" w:fill="auto"/>
                  <w:vAlign w:val="center"/>
                  <w:hideMark/>
                </w:tcPr>
                <w:p w14:paraId="335B9BFB" w14:textId="77777777" w:rsidR="001F6697" w:rsidRPr="002931C6" w:rsidRDefault="001F6697" w:rsidP="001F6697">
                  <w:pPr>
                    <w:spacing w:after="0" w:line="240" w:lineRule="auto"/>
                    <w:rPr>
                      <w:rFonts w:ascii="Arial CE" w:eastAsia="Times New Roman" w:hAnsi="Arial CE" w:cs="Times New Roman"/>
                      <w:color w:val="000000" w:themeColor="text1"/>
                      <w:sz w:val="20"/>
                      <w:szCs w:val="20"/>
                      <w:lang w:eastAsia="sk-SK"/>
                    </w:rPr>
                  </w:pPr>
                  <w:r w:rsidRPr="002931C6">
                    <w:rPr>
                      <w:rFonts w:ascii="Arial CE" w:eastAsia="Times New Roman" w:hAnsi="Arial CE" w:cs="Times New Roman"/>
                      <w:color w:val="000000" w:themeColor="text1"/>
                      <w:sz w:val="20"/>
                      <w:szCs w:val="20"/>
                      <w:lang w:eastAsia="sk-SK"/>
                    </w:rPr>
                    <w:t>Plynovody, ostatné montážne práce, doplňujúce činnosti,  ostrý prepoj)</w:t>
                  </w:r>
                </w:p>
              </w:tc>
            </w:tr>
          </w:tbl>
          <w:p w14:paraId="7CF1D4E2" w14:textId="77777777" w:rsidR="001F6697" w:rsidRPr="002931C6" w:rsidRDefault="001F6697" w:rsidP="001F6697">
            <w:pPr>
              <w:jc w:val="both"/>
              <w:rPr>
                <w:color w:val="000000" w:themeColor="text1"/>
              </w:rPr>
            </w:pPr>
          </w:p>
        </w:tc>
      </w:tr>
      <w:tr w:rsidR="001F6697" w:rsidRPr="00497141" w14:paraId="75BE30FF" w14:textId="77777777" w:rsidTr="00B26DC2">
        <w:tc>
          <w:tcPr>
            <w:tcW w:w="971" w:type="dxa"/>
          </w:tcPr>
          <w:p w14:paraId="417C04CE" w14:textId="3AABB1A7" w:rsidR="001F6697" w:rsidRDefault="001F6697" w:rsidP="001F6697">
            <w:r>
              <w:t>169.</w:t>
            </w:r>
          </w:p>
        </w:tc>
        <w:tc>
          <w:tcPr>
            <w:tcW w:w="6117" w:type="dxa"/>
          </w:tcPr>
          <w:p w14:paraId="4DD1264E" w14:textId="2946E646" w:rsidR="001F6697" w:rsidRDefault="001F6697" w:rsidP="001F6697">
            <w:pPr>
              <w:jc w:val="both"/>
            </w:pPr>
            <w:r>
              <w:t>SO 376.1 – vo VV je v pol. 45.24.70 11200101 Podkladné konštrukcie, podkladné vrstvy, z betónu prostého uvedená výmera podkladového betónu pod dlažbu z LK 10,16 m3. Táto položka súvisí s pol. vo VV 45.24.70 31210303 Spevnené plochy, dlažby z lomového kameňa, kde je uvedená plocha 112,90 m2, a z údaju uvedenom v TS bod 8.5.8 str. č. 13 je osadená v betóne hr. 100 mm, z uvedeného sa nazdávame, že výmera položky 45.24.70 11200101 nie je vo VV uvedená správne. Žiadame VO o preverenie predmetného množstva položky a informáciu, ktorý údaj je platný pre spracovanie cenovej ponuky</w:t>
            </w:r>
          </w:p>
        </w:tc>
        <w:tc>
          <w:tcPr>
            <w:tcW w:w="9214" w:type="dxa"/>
          </w:tcPr>
          <w:p w14:paraId="032ABCBF" w14:textId="77777777" w:rsidR="001F6697" w:rsidRPr="002931C6" w:rsidRDefault="001F6697" w:rsidP="001F6697">
            <w:pPr>
              <w:jc w:val="both"/>
              <w:rPr>
                <w:color w:val="000000" w:themeColor="text1"/>
              </w:rPr>
            </w:pPr>
            <w:r w:rsidRPr="002931C6">
              <w:rPr>
                <w:color w:val="000000" w:themeColor="text1"/>
              </w:rPr>
              <w:t>Správna hrúbka podkladného betónu pod dlažbu je 90mm, vykreslená v prílohe 8.1 Schéma rozmiestnenia príslušenstva (Detail „Rímsa - ľavá“ a „Rímsa - pravá“). Celková hrúbka lomového kameňa s podkladným betónom (240mm) je prispôsobená hrúbke rímsy, na ktorú nadväzuje.</w:t>
            </w:r>
          </w:p>
          <w:p w14:paraId="19978BFC" w14:textId="77777777" w:rsidR="001F6697" w:rsidRPr="002931C6" w:rsidRDefault="001F6697" w:rsidP="001F6697">
            <w:pPr>
              <w:jc w:val="both"/>
              <w:rPr>
                <w:color w:val="000000" w:themeColor="text1"/>
              </w:rPr>
            </w:pPr>
            <w:r w:rsidRPr="002931C6">
              <w:rPr>
                <w:color w:val="000000" w:themeColor="text1"/>
              </w:rPr>
              <w:t>Platí VV.</w:t>
            </w:r>
          </w:p>
          <w:p w14:paraId="6BB76583" w14:textId="77777777" w:rsidR="001F6697" w:rsidRPr="00497141" w:rsidRDefault="001F6697" w:rsidP="001F6697">
            <w:pPr>
              <w:jc w:val="both"/>
            </w:pPr>
          </w:p>
        </w:tc>
      </w:tr>
      <w:tr w:rsidR="001F6697" w:rsidRPr="00497141" w14:paraId="5BD091E7" w14:textId="77777777" w:rsidTr="00B26DC2">
        <w:tc>
          <w:tcPr>
            <w:tcW w:w="971" w:type="dxa"/>
          </w:tcPr>
          <w:p w14:paraId="1C6AA1BF" w14:textId="06957788" w:rsidR="001F6697" w:rsidRDefault="001F6697" w:rsidP="001F6697">
            <w:r>
              <w:t>170.</w:t>
            </w:r>
          </w:p>
        </w:tc>
        <w:tc>
          <w:tcPr>
            <w:tcW w:w="6117" w:type="dxa"/>
          </w:tcPr>
          <w:p w14:paraId="41CBE0A6" w14:textId="52FC3806" w:rsidR="001F6697" w:rsidRDefault="001F6697" w:rsidP="001F6697">
            <w:pPr>
              <w:jc w:val="both"/>
            </w:pPr>
            <w:r>
              <w:t>SO 376.1 – nazdávame sa, že vo VV v pol. 45.26.14 6101010101 Izolácie proti vode a zemnej vlhkosti, bežných konštrukcií náterivami a tmelmi na ploche vodorovnej nie je vo výmere zahrnuté množstvo náteru krídiel, konkrétne v množstve 0,40*6*4*2=19,20 m2. Žiadame VO o preverenie predmetného množstva položky a informáciu, ktorý údaj je platný pre spracovanie cenovej ponuky.</w:t>
            </w:r>
          </w:p>
        </w:tc>
        <w:tc>
          <w:tcPr>
            <w:tcW w:w="9214" w:type="dxa"/>
          </w:tcPr>
          <w:p w14:paraId="001A6C32" w14:textId="77777777" w:rsidR="001F6697" w:rsidRPr="008B34CC" w:rsidRDefault="001F6697" w:rsidP="001F6697">
            <w:pPr>
              <w:jc w:val="both"/>
              <w:rPr>
                <w:color w:val="000000" w:themeColor="text1"/>
              </w:rPr>
            </w:pPr>
            <w:r w:rsidRPr="008B34CC">
              <w:rPr>
                <w:color w:val="000000" w:themeColor="text1"/>
              </w:rPr>
              <w:t>V položke je započítaný náter na vodorovnej ploche základov nosnej konštrukcie (šírka mosta 32,61m) a základov krídel (dĺžka krídel 2x6m), tzn. na celkovej dĺžke základových pásov 45m:</w:t>
            </w:r>
          </w:p>
          <w:p w14:paraId="10B55FC8" w14:textId="77777777" w:rsidR="001F6697" w:rsidRPr="008B34CC" w:rsidRDefault="001F6697" w:rsidP="001F6697">
            <w:pPr>
              <w:jc w:val="both"/>
              <w:rPr>
                <w:color w:val="000000" w:themeColor="text1"/>
              </w:rPr>
            </w:pPr>
            <w:r w:rsidRPr="008B34CC">
              <w:rPr>
                <w:color w:val="000000" w:themeColor="text1"/>
              </w:rPr>
              <w:t>45m*0,4m*2*2=72,00m2</w:t>
            </w:r>
          </w:p>
          <w:p w14:paraId="1928362E" w14:textId="77777777" w:rsidR="001F6697" w:rsidRPr="008B34CC" w:rsidRDefault="001F6697" w:rsidP="001F6697">
            <w:pPr>
              <w:jc w:val="both"/>
              <w:rPr>
                <w:color w:val="000000" w:themeColor="text1"/>
              </w:rPr>
            </w:pPr>
            <w:r w:rsidRPr="008B34CC">
              <w:rPr>
                <w:color w:val="000000" w:themeColor="text1"/>
              </w:rPr>
              <w:t>Platí VV.</w:t>
            </w:r>
          </w:p>
          <w:p w14:paraId="457605FD" w14:textId="77777777" w:rsidR="001F6697" w:rsidRPr="008B34CC" w:rsidRDefault="001F6697" w:rsidP="001F6697">
            <w:pPr>
              <w:jc w:val="both"/>
            </w:pPr>
          </w:p>
        </w:tc>
      </w:tr>
      <w:tr w:rsidR="001F6697" w:rsidRPr="00497141" w14:paraId="7D99E74B" w14:textId="77777777" w:rsidTr="008B34CC">
        <w:tc>
          <w:tcPr>
            <w:tcW w:w="971" w:type="dxa"/>
          </w:tcPr>
          <w:p w14:paraId="6B7A2055" w14:textId="2EC1C75C" w:rsidR="001F6697" w:rsidRDefault="001F6697" w:rsidP="001F6697">
            <w:r>
              <w:t>171.</w:t>
            </w:r>
          </w:p>
        </w:tc>
        <w:tc>
          <w:tcPr>
            <w:tcW w:w="6117" w:type="dxa"/>
          </w:tcPr>
          <w:p w14:paraId="47375FC7" w14:textId="20538BF4" w:rsidR="001F6697" w:rsidRDefault="001F6697" w:rsidP="001F6697">
            <w:pPr>
              <w:jc w:val="both"/>
            </w:pPr>
            <w:r>
              <w:t>SO 376.1 – nazdávame sa, že vo VV v pol. 45.26.14 6101010102 Izolácie proti vode a zemnej vlhkosti, bežných konštrukcií náterivami a tmelmi na ploche zvislej nie je vo výmere zahrnuté množstvo náteru základov z časti od vodorovnej úrovne po predpokladanú úroveň tesniacej vrstvy a náter krídiel od vodorovnej úrovne krídla po predpokladanú úroveň zásypu krídla v orientačnom množstve pre základy: 0,50*45*2+0,30*45*2=72,00 m2 a pre krídla: 0,50*6*4+0,30*6*4=19,20m2, čo je spolu 91,20 m2. Žiadame VO o preverenie predmetného množstva položky a informáciu, ktorý údaj je platný pre spracovanie cenovej ponuky.</w:t>
            </w:r>
          </w:p>
        </w:tc>
        <w:tc>
          <w:tcPr>
            <w:tcW w:w="9214" w:type="dxa"/>
            <w:shd w:val="clear" w:color="auto" w:fill="auto"/>
          </w:tcPr>
          <w:p w14:paraId="41D256FD" w14:textId="77777777" w:rsidR="001F6697" w:rsidRPr="008B34CC" w:rsidRDefault="001F6697" w:rsidP="001F6697">
            <w:pPr>
              <w:jc w:val="both"/>
              <w:rPr>
                <w:color w:val="000000" w:themeColor="text1"/>
              </w:rPr>
            </w:pPr>
            <w:r w:rsidRPr="008B34CC">
              <w:rPr>
                <w:color w:val="000000" w:themeColor="text1"/>
              </w:rPr>
              <w:t>V položke sú započítané všetky zvislé (bočné) plochy základov, ako aj zvislé plochy NK (steny prefabrikátu) a krídel pod terénom, v zmysle detailu izolácie v prílohe č.5 Výkres tvaru.</w:t>
            </w:r>
          </w:p>
          <w:p w14:paraId="3D600C3D" w14:textId="77777777" w:rsidR="001F6697" w:rsidRPr="008B34CC" w:rsidRDefault="001F6697" w:rsidP="001F6697">
            <w:pPr>
              <w:jc w:val="both"/>
              <w:rPr>
                <w:color w:val="000000" w:themeColor="text1"/>
              </w:rPr>
            </w:pPr>
            <w:r w:rsidRPr="008B34CC">
              <w:rPr>
                <w:color w:val="000000" w:themeColor="text1"/>
              </w:rPr>
              <w:t>V položke sú samostane rozpísané množstvá pre základy (na celej dĺžke základových pásov 45m vrátane krídel), NK (jedná sa o steny prefabrikovaného rámu vrátane krídel, opatrené náterom na rube na celej výške a na líci do výšky 0,3m)  a krídla z lícnej strany (vysvahovanie koryta nábehom).</w:t>
            </w:r>
          </w:p>
          <w:p w14:paraId="28C26251" w14:textId="77777777" w:rsidR="001F6697" w:rsidRPr="008B34CC" w:rsidRDefault="001F6697" w:rsidP="001F6697">
            <w:pPr>
              <w:jc w:val="both"/>
              <w:rPr>
                <w:color w:val="000000" w:themeColor="text1"/>
              </w:rPr>
            </w:pPr>
            <w:r w:rsidRPr="008B34CC">
              <w:rPr>
                <w:color w:val="000000" w:themeColor="text1"/>
              </w:rPr>
              <w:t>Platí VV.</w:t>
            </w:r>
          </w:p>
          <w:p w14:paraId="32623BB9" w14:textId="77777777" w:rsidR="001F6697" w:rsidRPr="008B34CC" w:rsidRDefault="001F6697" w:rsidP="001F6697">
            <w:pPr>
              <w:jc w:val="both"/>
            </w:pPr>
          </w:p>
        </w:tc>
      </w:tr>
      <w:tr w:rsidR="001F6697" w:rsidRPr="00497141" w14:paraId="3BBE29C0" w14:textId="77777777" w:rsidTr="00B26DC2">
        <w:tc>
          <w:tcPr>
            <w:tcW w:w="971" w:type="dxa"/>
          </w:tcPr>
          <w:p w14:paraId="395CE1A8" w14:textId="0DF2CE70" w:rsidR="001F6697" w:rsidRDefault="001F6697" w:rsidP="001F6697">
            <w:r>
              <w:t>172.</w:t>
            </w:r>
          </w:p>
        </w:tc>
        <w:tc>
          <w:tcPr>
            <w:tcW w:w="6117" w:type="dxa"/>
          </w:tcPr>
          <w:p w14:paraId="3B49ACB8" w14:textId="6A02DBB5" w:rsidR="001F6697" w:rsidRDefault="001F6697" w:rsidP="001F6697">
            <w:pPr>
              <w:jc w:val="both"/>
            </w:pPr>
            <w:r>
              <w:t>SO 376.1 – nazdávame sa, že vo VV v pol. 45.26.14 6101010201 Izolácie proti vode a zemnej vlhkosti, bežných konštrukcií pásmi na ploche vodorovnej nie je vo výmere zahrnuté množstvo izolácie vodorovnej časti základov krídla v orientačnom množstve 0,40*6*4*2=19,20 m2. Žiadame VO o preverenie predmetného množstva položky a informáciu, ktorý údaj je platný pre spracovanie cenovej ponuky.</w:t>
            </w:r>
          </w:p>
        </w:tc>
        <w:tc>
          <w:tcPr>
            <w:tcW w:w="9214" w:type="dxa"/>
          </w:tcPr>
          <w:p w14:paraId="145FC41C" w14:textId="77777777" w:rsidR="001F6697" w:rsidRPr="008B34CC" w:rsidRDefault="001F6697" w:rsidP="001F6697">
            <w:pPr>
              <w:jc w:val="both"/>
              <w:rPr>
                <w:color w:val="000000" w:themeColor="text1"/>
              </w:rPr>
            </w:pPr>
            <w:r w:rsidRPr="008B34CC">
              <w:rPr>
                <w:color w:val="000000" w:themeColor="text1"/>
              </w:rPr>
              <w:t>V položke je započítaná izolácia na vodorovnej ploche základov nosnej konštrukcie (šírka mosta 32,61m) a základov krídel (dĺžka krídel 2x6m), tzn. na celkovej dĺžke základových pásov 45m.</w:t>
            </w:r>
          </w:p>
          <w:p w14:paraId="1473DBA6" w14:textId="38F32AA8" w:rsidR="001F6697" w:rsidRPr="008B34CC" w:rsidRDefault="001F6697" w:rsidP="001F6697">
            <w:pPr>
              <w:jc w:val="both"/>
            </w:pPr>
            <w:r w:rsidRPr="008B34CC">
              <w:rPr>
                <w:color w:val="000000" w:themeColor="text1"/>
              </w:rPr>
              <w:t>Platí VV.</w:t>
            </w:r>
          </w:p>
        </w:tc>
      </w:tr>
      <w:tr w:rsidR="001F6697" w:rsidRPr="00497141" w14:paraId="4BFB694C" w14:textId="77777777" w:rsidTr="00B26DC2">
        <w:tc>
          <w:tcPr>
            <w:tcW w:w="971" w:type="dxa"/>
          </w:tcPr>
          <w:p w14:paraId="0954784E" w14:textId="347BACA5" w:rsidR="001F6697" w:rsidRDefault="001F6697" w:rsidP="001F6697">
            <w:r>
              <w:t>173.</w:t>
            </w:r>
          </w:p>
        </w:tc>
        <w:tc>
          <w:tcPr>
            <w:tcW w:w="6117" w:type="dxa"/>
          </w:tcPr>
          <w:p w14:paraId="0897FBBE" w14:textId="72ECF909" w:rsidR="001F6697" w:rsidRDefault="001F6697" w:rsidP="001F6697">
            <w:pPr>
              <w:jc w:val="both"/>
            </w:pPr>
            <w:r>
              <w:t>SO 376.1 – nazdávame sa, že vo VV v pol. 45.26.14 6101010202 Izolácie proti vode a zemnej vlhkosti, bežných konštrukcií pásmi na ploche zvislej, opätovne chýbajú množstvá izolácie na zvislých plochách základov NK po zásyp a tesniacu vrstvu a tiež izolácia krídiel na rube a po predpokladanú úroveň zásypu. Žiadame VO o preverenie predmetného množstva položky a informáciu, ktorý údaj je platný pre spracovanie cenovej ponuky.</w:t>
            </w:r>
          </w:p>
        </w:tc>
        <w:tc>
          <w:tcPr>
            <w:tcW w:w="9214" w:type="dxa"/>
          </w:tcPr>
          <w:p w14:paraId="64C1EF72" w14:textId="77777777" w:rsidR="001F6697" w:rsidRPr="0017691B" w:rsidRDefault="001F6697" w:rsidP="001F6697">
            <w:pPr>
              <w:jc w:val="both"/>
              <w:rPr>
                <w:color w:val="000000" w:themeColor="text1"/>
              </w:rPr>
            </w:pPr>
            <w:r w:rsidRPr="0017691B">
              <w:rPr>
                <w:color w:val="000000" w:themeColor="text1"/>
              </w:rPr>
              <w:t>V položke sú započítané všetky zvislé (bočné) plochy základov, ako aj zvislé plochy NK (steny prefabrikátu) a krídel pod terénom, v zmysle detailu izolácie v prílohe č.5 Výkres tvaru.</w:t>
            </w:r>
          </w:p>
          <w:p w14:paraId="7F0BCC84" w14:textId="77777777" w:rsidR="001F6697" w:rsidRPr="0017691B" w:rsidRDefault="001F6697" w:rsidP="001F6697">
            <w:pPr>
              <w:jc w:val="both"/>
              <w:rPr>
                <w:color w:val="000000" w:themeColor="text1"/>
              </w:rPr>
            </w:pPr>
            <w:r w:rsidRPr="0017691B">
              <w:rPr>
                <w:color w:val="000000" w:themeColor="text1"/>
              </w:rPr>
              <w:t>V položke sú samostane rozpísané množstvá pre základy (na celej dĺžke základových pásov 45m vrátane krídel) a NK (jedná sa o steny prefabrikovaného rámu vrátane krídel, opatrené izoláciou na rube na celej výške a na líci do výšky 0,3m).</w:t>
            </w:r>
          </w:p>
          <w:p w14:paraId="02B1D792" w14:textId="77777777" w:rsidR="001F6697" w:rsidRPr="0017691B" w:rsidRDefault="001F6697" w:rsidP="001F6697">
            <w:pPr>
              <w:jc w:val="both"/>
              <w:rPr>
                <w:color w:val="000000" w:themeColor="text1"/>
              </w:rPr>
            </w:pPr>
            <w:r w:rsidRPr="0017691B">
              <w:rPr>
                <w:color w:val="000000" w:themeColor="text1"/>
              </w:rPr>
              <w:t>Platí VV.</w:t>
            </w:r>
          </w:p>
          <w:p w14:paraId="49A14C5D" w14:textId="77777777" w:rsidR="001F6697" w:rsidRPr="0017691B" w:rsidRDefault="001F6697" w:rsidP="001F6697">
            <w:pPr>
              <w:jc w:val="both"/>
              <w:rPr>
                <w:color w:val="000000" w:themeColor="text1"/>
              </w:rPr>
            </w:pPr>
          </w:p>
        </w:tc>
      </w:tr>
      <w:tr w:rsidR="001F6697" w:rsidRPr="00497141" w14:paraId="173EDF68" w14:textId="77777777" w:rsidTr="00B26DC2">
        <w:tc>
          <w:tcPr>
            <w:tcW w:w="971" w:type="dxa"/>
          </w:tcPr>
          <w:p w14:paraId="07035677" w14:textId="40BC49D6" w:rsidR="001F6697" w:rsidRDefault="001F6697" w:rsidP="001F6697">
            <w:r>
              <w:t>174.</w:t>
            </w:r>
          </w:p>
        </w:tc>
        <w:tc>
          <w:tcPr>
            <w:tcW w:w="6117" w:type="dxa"/>
          </w:tcPr>
          <w:p w14:paraId="2618BC25" w14:textId="5FC52E72" w:rsidR="001F6697" w:rsidRDefault="001F6697" w:rsidP="001F6697">
            <w:pPr>
              <w:jc w:val="both"/>
            </w:pPr>
            <w:r>
              <w:t>SO 376.1 – nazdávame sa, že vo VV v pol. 45.26.14 6101010202 Izolácie proti vode a zemnej vlhkosti, bežných konštrukcií pásmi na ploche zvislej, opätovne chýbajú množstvá izolácie na zvislých plochách základov NK po zásyp a tesniacu vrstvu a tiež izolácia krídiel na rube a po predpokladanú úroveň zásypu. Žiadame VO o preverenie predmetného množstva položky a informáciu, ktorý údaj je platný pre spracovanie cenovej ponuky.</w:t>
            </w:r>
          </w:p>
        </w:tc>
        <w:tc>
          <w:tcPr>
            <w:tcW w:w="9214" w:type="dxa"/>
          </w:tcPr>
          <w:p w14:paraId="1DF691AA" w14:textId="6C979A85" w:rsidR="001F6697" w:rsidRPr="0017691B" w:rsidRDefault="001F6697" w:rsidP="001F6697">
            <w:pPr>
              <w:jc w:val="both"/>
              <w:rPr>
                <w:color w:val="000000" w:themeColor="text1"/>
              </w:rPr>
            </w:pPr>
            <w:r w:rsidRPr="0017691B">
              <w:rPr>
                <w:color w:val="000000" w:themeColor="text1"/>
              </w:rPr>
              <w:t>Otázka je totožná s otázkou 173.</w:t>
            </w:r>
          </w:p>
        </w:tc>
      </w:tr>
      <w:tr w:rsidR="001F6697" w:rsidRPr="00497141" w14:paraId="334CAA25" w14:textId="77777777" w:rsidTr="00B26DC2">
        <w:tc>
          <w:tcPr>
            <w:tcW w:w="971" w:type="dxa"/>
          </w:tcPr>
          <w:p w14:paraId="620D588B" w14:textId="4E5CDA7E" w:rsidR="001F6697" w:rsidRDefault="001F6697" w:rsidP="001F6697">
            <w:r>
              <w:t>175.</w:t>
            </w:r>
          </w:p>
        </w:tc>
        <w:tc>
          <w:tcPr>
            <w:tcW w:w="6117" w:type="dxa"/>
          </w:tcPr>
          <w:p w14:paraId="350ABC71" w14:textId="632D41BC" w:rsidR="001F6697" w:rsidRDefault="001F6697" w:rsidP="001F6697">
            <w:pPr>
              <w:jc w:val="both"/>
            </w:pPr>
            <w:r>
              <w:t>SO 376.1 – nazdávame sa, že vo VV v pol. 45.26. 0201020401 Zlepšovanie základovej pôdy, lôžko pre trativody a vankúše pod základy, z kameniva ťaženého drobného nie je správne uvedená výmera 45*2,7*0,15*2*2=72,90, správne by asi mala byť 45*2,95*0,15*2*2=79,65 m3, keďže položka súvisí s pol. 45.26.14 6101010301. Žiadame VO o preverenie predmetného množstva položky a informáciu, ktorý údaj je platný pre spracovanie cenovej ponuky.</w:t>
            </w:r>
          </w:p>
        </w:tc>
        <w:tc>
          <w:tcPr>
            <w:tcW w:w="9214" w:type="dxa"/>
          </w:tcPr>
          <w:p w14:paraId="650B359A" w14:textId="77777777" w:rsidR="001F6697" w:rsidRPr="0017691B" w:rsidRDefault="001F6697" w:rsidP="001F6697">
            <w:pPr>
              <w:jc w:val="both"/>
              <w:rPr>
                <w:color w:val="000000" w:themeColor="text1"/>
              </w:rPr>
            </w:pPr>
            <w:r w:rsidRPr="0017691B">
              <w:rPr>
                <w:color w:val="000000" w:themeColor="text1"/>
              </w:rPr>
              <w:t>Uvedené množstvá sú v oboch položkách vykázané správne, tesniaca vrstva zo ŠP je ukončená pred podkladným betónom drenážne, tesniaca fólia je ukončená až na povrchu steny rámu prefabrikátu.</w:t>
            </w:r>
          </w:p>
          <w:p w14:paraId="7A144C87" w14:textId="77777777" w:rsidR="001F6697" w:rsidRPr="0017691B" w:rsidRDefault="001F6697" w:rsidP="001F6697">
            <w:pPr>
              <w:jc w:val="both"/>
              <w:rPr>
                <w:color w:val="000000" w:themeColor="text1"/>
              </w:rPr>
            </w:pPr>
            <w:r w:rsidRPr="0017691B">
              <w:rPr>
                <w:color w:val="000000" w:themeColor="text1"/>
              </w:rPr>
              <w:t>Platí VV.</w:t>
            </w:r>
          </w:p>
          <w:p w14:paraId="77EBFCC3" w14:textId="77777777" w:rsidR="001F6697" w:rsidRPr="00497141" w:rsidRDefault="001F6697" w:rsidP="001F6697">
            <w:pPr>
              <w:jc w:val="both"/>
            </w:pPr>
          </w:p>
        </w:tc>
      </w:tr>
      <w:tr w:rsidR="001F6697" w:rsidRPr="00497141" w14:paraId="489A9435" w14:textId="77777777" w:rsidTr="00B26DC2">
        <w:tc>
          <w:tcPr>
            <w:tcW w:w="971" w:type="dxa"/>
          </w:tcPr>
          <w:p w14:paraId="1F281719" w14:textId="6A389B14" w:rsidR="001F6697" w:rsidRDefault="001F6697" w:rsidP="001F6697">
            <w:r>
              <w:t>176.</w:t>
            </w:r>
          </w:p>
        </w:tc>
        <w:tc>
          <w:tcPr>
            <w:tcW w:w="6117" w:type="dxa"/>
          </w:tcPr>
          <w:p w14:paraId="600AE2C3" w14:textId="0BE124F8" w:rsidR="001F6697" w:rsidRDefault="001F6697" w:rsidP="001F6697">
            <w:pPr>
              <w:jc w:val="both"/>
            </w:pPr>
            <w:r>
              <w:t>SO 376.1 – v TS objektu na str. č. 16, v bode č. 10.5.1 je uvedené, že zaťažovacia skúška nie je potrebná, avšak v bode 10.5.2 je uvedené, že dlhodobé sledovanie mosta bude nadväzovať na meranie počas zaťažovacej skúšky. Žiadame VO o informáciu, ktorý údaj je platný pre spracovanie cenovej ponuky.</w:t>
            </w:r>
          </w:p>
        </w:tc>
        <w:tc>
          <w:tcPr>
            <w:tcW w:w="9214" w:type="dxa"/>
          </w:tcPr>
          <w:p w14:paraId="16256DF9" w14:textId="77777777" w:rsidR="001F6697" w:rsidRPr="007753E2" w:rsidRDefault="001F6697" w:rsidP="001F6697">
            <w:pPr>
              <w:jc w:val="both"/>
              <w:rPr>
                <w:color w:val="000000" w:themeColor="text1"/>
              </w:rPr>
            </w:pPr>
            <w:r w:rsidRPr="007753E2">
              <w:rPr>
                <w:color w:val="000000" w:themeColor="text1"/>
              </w:rPr>
              <w:t>Kapitola 10.5.1 TS je správne, zaťažovacia skúška nie je potrebná.</w:t>
            </w:r>
          </w:p>
          <w:p w14:paraId="1CAA3406" w14:textId="34F8A720" w:rsidR="001F6697" w:rsidRPr="00497141" w:rsidRDefault="001F6697" w:rsidP="001F6697">
            <w:pPr>
              <w:jc w:val="both"/>
            </w:pPr>
            <w:r w:rsidRPr="007753E2">
              <w:rPr>
                <w:color w:val="000000" w:themeColor="text1"/>
              </w:rPr>
              <w:t>Kapitola 10.5.2 TS má mať správne znenie: Dlhodobé sledovanie mosta bude nadväzovať na meranie počas výstavby.</w:t>
            </w:r>
          </w:p>
        </w:tc>
      </w:tr>
      <w:tr w:rsidR="001F6697" w:rsidRPr="00497141" w14:paraId="232676AA" w14:textId="77777777" w:rsidTr="00B26DC2">
        <w:tc>
          <w:tcPr>
            <w:tcW w:w="971" w:type="dxa"/>
          </w:tcPr>
          <w:p w14:paraId="6D34A0C6" w14:textId="71FC0834" w:rsidR="001F6697" w:rsidRDefault="001F6697" w:rsidP="001F6697">
            <w:r>
              <w:t>177.</w:t>
            </w:r>
          </w:p>
        </w:tc>
        <w:tc>
          <w:tcPr>
            <w:tcW w:w="6117" w:type="dxa"/>
          </w:tcPr>
          <w:p w14:paraId="1708BEDF" w14:textId="226E9845" w:rsidR="001F6697" w:rsidRDefault="001F6697" w:rsidP="001F6697">
            <w:pPr>
              <w:jc w:val="both"/>
            </w:pPr>
            <w:r>
              <w:t>SO 376.1 – na predmetný stavebný objekt požaduje VO dlhodobé sledovanie?</w:t>
            </w:r>
          </w:p>
        </w:tc>
        <w:tc>
          <w:tcPr>
            <w:tcW w:w="9214" w:type="dxa"/>
          </w:tcPr>
          <w:p w14:paraId="458F3D10" w14:textId="672A9FD8" w:rsidR="001F6697" w:rsidRPr="00497141" w:rsidRDefault="001F6697" w:rsidP="001F6697">
            <w:pPr>
              <w:jc w:val="both"/>
            </w:pPr>
            <w:r w:rsidRPr="007753E2">
              <w:rPr>
                <w:color w:val="000000" w:themeColor="text1"/>
              </w:rPr>
              <w:t>Áno, vzhľadom k šírke mosta a konštrukčnému systému zo samostatných prefabrikovaných rámov, sa požaduje dlhodobé sledovanie mostnej konštrukcie.</w:t>
            </w:r>
          </w:p>
        </w:tc>
      </w:tr>
      <w:tr w:rsidR="001F6697" w:rsidRPr="00497141" w14:paraId="2EA8420B" w14:textId="77777777" w:rsidTr="00B26DC2">
        <w:tc>
          <w:tcPr>
            <w:tcW w:w="971" w:type="dxa"/>
          </w:tcPr>
          <w:p w14:paraId="15A32829" w14:textId="06D8D3AF" w:rsidR="001F6697" w:rsidRDefault="001F6697" w:rsidP="001F6697">
            <w:r>
              <w:t>178.</w:t>
            </w:r>
          </w:p>
        </w:tc>
        <w:tc>
          <w:tcPr>
            <w:tcW w:w="6117" w:type="dxa"/>
          </w:tcPr>
          <w:p w14:paraId="2F485C8D" w14:textId="763D7212" w:rsidR="001F6697" w:rsidRDefault="001F6697" w:rsidP="001F6697">
            <w:pPr>
              <w:jc w:val="both"/>
            </w:pPr>
            <w:r>
              <w:t>V prípade, že je odpoveď na otázku č.178 kladná, žiadame VO o upresnenie, v ktorej položke v rámci SP – súpisu prác má byť ocenený náklad spojený s dlhodobým sledovaním mosta, keďže v ňom samostatná položka nefiguruje?</w:t>
            </w:r>
          </w:p>
        </w:tc>
        <w:tc>
          <w:tcPr>
            <w:tcW w:w="9214" w:type="dxa"/>
          </w:tcPr>
          <w:p w14:paraId="061354C8" w14:textId="36CDA098" w:rsidR="001F6697" w:rsidRPr="007753E2" w:rsidRDefault="001F6697" w:rsidP="001F6697">
            <w:pPr>
              <w:jc w:val="both"/>
              <w:rPr>
                <w:color w:val="000000" w:themeColor="text1"/>
              </w:rPr>
            </w:pPr>
            <w:r w:rsidRPr="007753E2">
              <w:rPr>
                <w:color w:val="000000" w:themeColor="text1"/>
              </w:rPr>
              <w:t>V cene mostných objektov, pri ktorých sa požaduje dlhodobé meranie, musia byť zahrnuté všetky merania do ukončenia výstavby, viď Zv. 4 Preambula.</w:t>
            </w:r>
          </w:p>
        </w:tc>
      </w:tr>
      <w:tr w:rsidR="001F6697" w:rsidRPr="00497141" w14:paraId="578687A6" w14:textId="77777777" w:rsidTr="00B26DC2">
        <w:tc>
          <w:tcPr>
            <w:tcW w:w="971" w:type="dxa"/>
          </w:tcPr>
          <w:p w14:paraId="4D92FAE5" w14:textId="57D3625E" w:rsidR="001F6697" w:rsidRDefault="001F6697" w:rsidP="001F6697">
            <w:r>
              <w:t>179.</w:t>
            </w:r>
          </w:p>
        </w:tc>
        <w:tc>
          <w:tcPr>
            <w:tcW w:w="6117" w:type="dxa"/>
          </w:tcPr>
          <w:p w14:paraId="1AB011F0" w14:textId="4BEA31C6" w:rsidR="001F6697" w:rsidRDefault="001F6697" w:rsidP="001F6697">
            <w:pPr>
              <w:jc w:val="both"/>
            </w:pPr>
            <w:r>
              <w:t>Žiadame VO o upresnenie, v ktorej položke v rámci SP – súpisu prác má byť ocenený náklad spojený s geodetickými prácami – pred, počas a po realizácii stavby, keďže v ňom samostatná položka nefiguruje?</w:t>
            </w:r>
          </w:p>
        </w:tc>
        <w:tc>
          <w:tcPr>
            <w:tcW w:w="9214" w:type="dxa"/>
          </w:tcPr>
          <w:p w14:paraId="729A9F97" w14:textId="77777777" w:rsidR="001F6697" w:rsidRPr="007753E2" w:rsidRDefault="001F6697" w:rsidP="001F6697">
            <w:pPr>
              <w:jc w:val="both"/>
              <w:rPr>
                <w:color w:val="000000" w:themeColor="text1"/>
              </w:rPr>
            </w:pPr>
            <w:r w:rsidRPr="007753E2">
              <w:rPr>
                <w:color w:val="000000" w:themeColor="text1"/>
              </w:rPr>
              <w:t>Náklad spojený s geodetickými prácami pred a počas realizácie stavby bude zahrnutý v jednotkovej cene príslušných položiek objektov, viď Zv. 4 Preambula.</w:t>
            </w:r>
          </w:p>
          <w:p w14:paraId="6FACE97E" w14:textId="30E96901" w:rsidR="001F6697" w:rsidRPr="00497141" w:rsidRDefault="001F6697" w:rsidP="001F6697">
            <w:pPr>
              <w:jc w:val="both"/>
            </w:pPr>
            <w:r w:rsidRPr="007753E2">
              <w:rPr>
                <w:color w:val="000000" w:themeColor="text1"/>
              </w:rPr>
              <w:t>Náklad spojený s geodetickými prácami po realizácii stavby bude zahrnutý v cene DSRS.</w:t>
            </w:r>
          </w:p>
        </w:tc>
      </w:tr>
      <w:tr w:rsidR="001F6697" w:rsidRPr="00497141" w14:paraId="3D5EA91F" w14:textId="77777777" w:rsidTr="00B26DC2">
        <w:tc>
          <w:tcPr>
            <w:tcW w:w="971" w:type="dxa"/>
          </w:tcPr>
          <w:p w14:paraId="5F0ED554" w14:textId="3B4F2B34" w:rsidR="001F6697" w:rsidRDefault="001F6697" w:rsidP="001F6697">
            <w:r>
              <w:t>180.</w:t>
            </w:r>
          </w:p>
        </w:tc>
        <w:tc>
          <w:tcPr>
            <w:tcW w:w="6117" w:type="dxa"/>
          </w:tcPr>
          <w:p w14:paraId="571AD22E" w14:textId="3E50C1CA" w:rsidR="001F6697" w:rsidRDefault="001F6697" w:rsidP="001F6697">
            <w:pPr>
              <w:jc w:val="both"/>
            </w:pPr>
            <w:r>
              <w:t>Žiadame VO o upresnenie, v ktorej položke v rámci SP – súpisu prác má byť ocenený náklad spojený s realizáciou skúšok kvality, keďže v ňom samostatná položka nefiguruje?</w:t>
            </w:r>
          </w:p>
        </w:tc>
        <w:tc>
          <w:tcPr>
            <w:tcW w:w="9214" w:type="dxa"/>
          </w:tcPr>
          <w:p w14:paraId="3AFE004F" w14:textId="6C4E5C4E" w:rsidR="001F6697" w:rsidRPr="007753E2" w:rsidRDefault="001F6697" w:rsidP="001F6697">
            <w:pPr>
              <w:jc w:val="both"/>
              <w:rPr>
                <w:color w:val="000000" w:themeColor="text1"/>
              </w:rPr>
            </w:pPr>
            <w:r w:rsidRPr="007753E2">
              <w:rPr>
                <w:color w:val="000000" w:themeColor="text1"/>
              </w:rPr>
              <w:t>Náklad spojený s realizáciou skúšok kvality budú obsiahnuté v položkách príslušných prác, viď Zv. 4 Preambula.</w:t>
            </w:r>
          </w:p>
        </w:tc>
      </w:tr>
      <w:tr w:rsidR="001F6697" w:rsidRPr="00497141" w14:paraId="56EE49FB" w14:textId="77777777" w:rsidTr="005E2672">
        <w:tc>
          <w:tcPr>
            <w:tcW w:w="971" w:type="dxa"/>
          </w:tcPr>
          <w:p w14:paraId="170B02C5" w14:textId="20FEE918" w:rsidR="001F6697" w:rsidRDefault="001F6697" w:rsidP="001F6697">
            <w:r>
              <w:t>181.</w:t>
            </w:r>
          </w:p>
        </w:tc>
        <w:tc>
          <w:tcPr>
            <w:tcW w:w="6117" w:type="dxa"/>
          </w:tcPr>
          <w:p w14:paraId="1C75F418" w14:textId="5E8F31B5" w:rsidR="001F6697" w:rsidRDefault="001F6697" w:rsidP="001F6697">
            <w:pPr>
              <w:jc w:val="both"/>
            </w:pPr>
            <w:r>
              <w:t>Žiadame verejného obstarávateľa o potvrdenie, že v poskytnutej projektovej dokumentácii sú zohľadnené, a súčasne v súťažnom výkaze výmer sú kvantifikované všetky pripomienky dotknutých správcov IS ako aj ostatných účastníkov stavebného konania uvedených v zväzku č.5 súťažných podkladov.</w:t>
            </w:r>
          </w:p>
        </w:tc>
        <w:tc>
          <w:tcPr>
            <w:tcW w:w="9214" w:type="dxa"/>
            <w:shd w:val="clear" w:color="auto" w:fill="auto"/>
          </w:tcPr>
          <w:p w14:paraId="4BAB9D5A" w14:textId="03C48ADF" w:rsidR="008B34CC" w:rsidRPr="005E2672" w:rsidRDefault="008B34CC" w:rsidP="008B34CC">
            <w:r w:rsidRPr="005E2672">
              <w:t xml:space="preserve">V PD sú zapracované všetky známe pripomienky správcov IS.  V  prípade zmeny podmienok, príp. nových požiadaviek  </w:t>
            </w:r>
            <w:r w:rsidR="005E2672">
              <w:t>v zmysle stavebného</w:t>
            </w:r>
            <w:r w:rsidRPr="005E2672">
              <w:t xml:space="preserve"> konania má zhotoviteľ právo postupovať podľa článku 13 Zmluvných podmienok.</w:t>
            </w:r>
          </w:p>
          <w:p w14:paraId="7421FCDB" w14:textId="6CBA8C77" w:rsidR="008B34CC" w:rsidRPr="005E2672" w:rsidRDefault="008B34CC" w:rsidP="001F6697">
            <w:pPr>
              <w:jc w:val="both"/>
            </w:pPr>
          </w:p>
        </w:tc>
      </w:tr>
      <w:tr w:rsidR="001F6697" w:rsidRPr="00497141" w14:paraId="0FF686B0" w14:textId="77777777" w:rsidTr="00B26DC2">
        <w:tc>
          <w:tcPr>
            <w:tcW w:w="971" w:type="dxa"/>
          </w:tcPr>
          <w:p w14:paraId="0E98F5BB" w14:textId="6DF6570C" w:rsidR="001F6697" w:rsidRDefault="001F6697" w:rsidP="001F6697">
            <w:r>
              <w:t>182.</w:t>
            </w:r>
          </w:p>
        </w:tc>
        <w:tc>
          <w:tcPr>
            <w:tcW w:w="6117" w:type="dxa"/>
          </w:tcPr>
          <w:p w14:paraId="1D17CEB8" w14:textId="410767EC" w:rsidR="001F6697" w:rsidRDefault="001F6697" w:rsidP="001F6697">
            <w:pPr>
              <w:jc w:val="both"/>
            </w:pPr>
            <w:r>
              <w:t>Je miesto na vykonanie diela bez akýchkoľvek právnych alebo skutkových vád (napr. podzemné inžinierske siete, nestabilné podložie, spodné vody a pod.), ktoré by neboli zrejmé zo súťažných podkladov a ktorých existencia by spôsobila predĺženie termínu realizácie diela alebo zvýšenie nákladov na zhotovenie diela?</w:t>
            </w:r>
          </w:p>
        </w:tc>
        <w:tc>
          <w:tcPr>
            <w:tcW w:w="9214" w:type="dxa"/>
          </w:tcPr>
          <w:p w14:paraId="3D32F377" w14:textId="70D4162D" w:rsidR="001F6697" w:rsidRPr="005E2672" w:rsidRDefault="001F6697" w:rsidP="001F6697">
            <w:pPr>
              <w:jc w:val="both"/>
              <w:rPr>
                <w:color w:val="000000" w:themeColor="text1"/>
              </w:rPr>
            </w:pPr>
            <w:r w:rsidRPr="005E2672">
              <w:rPr>
                <w:color w:val="000000" w:themeColor="text1"/>
              </w:rPr>
              <w:t>Verejnému obstarávateľovi nie sú známe právne alebo skutkové vady.</w:t>
            </w:r>
          </w:p>
          <w:p w14:paraId="35621CC5" w14:textId="77777777" w:rsidR="001F6697" w:rsidRPr="005E2672" w:rsidRDefault="001F6697" w:rsidP="001F6697">
            <w:pPr>
              <w:jc w:val="both"/>
              <w:rPr>
                <w:color w:val="000000" w:themeColor="text1"/>
              </w:rPr>
            </w:pPr>
          </w:p>
        </w:tc>
      </w:tr>
      <w:tr w:rsidR="001F6697" w:rsidRPr="00497141" w14:paraId="1A23B61A" w14:textId="77777777" w:rsidTr="00B26DC2">
        <w:tc>
          <w:tcPr>
            <w:tcW w:w="971" w:type="dxa"/>
          </w:tcPr>
          <w:p w14:paraId="7F99CE99" w14:textId="537FED89" w:rsidR="001F6697" w:rsidRDefault="001F6697" w:rsidP="001F6697">
            <w:r>
              <w:t>183.</w:t>
            </w:r>
          </w:p>
        </w:tc>
        <w:tc>
          <w:tcPr>
            <w:tcW w:w="6117" w:type="dxa"/>
          </w:tcPr>
          <w:p w14:paraId="4A97BA6B" w14:textId="7E9EDC23" w:rsidR="001F6697" w:rsidRDefault="001F6697" w:rsidP="001F6697">
            <w:pPr>
              <w:jc w:val="both"/>
            </w:pPr>
            <w:r>
              <w:t>Domnievame sa správne, že predmetom diela nie sú akékoľvek práce súvisiace s majetkoprávnym vysporiadaním pozemkov, či zriadením vecných bremien ? (v prípade zápornej odpovede žiadame obstarávateľa o jej zdôvodnenie, ako aj o doplnenie adekvátnych položiek do výkazu výmer)</w:t>
            </w:r>
          </w:p>
        </w:tc>
        <w:tc>
          <w:tcPr>
            <w:tcW w:w="9214" w:type="dxa"/>
          </w:tcPr>
          <w:p w14:paraId="39D77802" w14:textId="7A3C3627" w:rsidR="001F6697" w:rsidRPr="00497141" w:rsidRDefault="001F6697" w:rsidP="005E2672">
            <w:pPr>
              <w:jc w:val="both"/>
            </w:pPr>
            <w:r w:rsidRPr="005E2672">
              <w:t xml:space="preserve">Áno, </w:t>
            </w:r>
            <w:r w:rsidR="00A44AEC" w:rsidRPr="005E2672">
              <w:t xml:space="preserve">domnievate sa správne, </w:t>
            </w:r>
            <w:r w:rsidR="005E2672" w:rsidRPr="005E2672">
              <w:t>práce súvisiace s majetkovo</w:t>
            </w:r>
            <w:r w:rsidRPr="005E2672">
              <w:t xml:space="preserve">právnym usporiadaním </w:t>
            </w:r>
            <w:r w:rsidR="005E2672" w:rsidRPr="005E2672">
              <w:t>nie sú predmetom diela. R</w:t>
            </w:r>
            <w:r w:rsidR="00A44AEC" w:rsidRPr="005E2672">
              <w:t>ozsa</w:t>
            </w:r>
            <w:r w:rsidR="005E2672" w:rsidRPr="005E2672">
              <w:t>h stavby je definovaný  TZ, DZ, RZ, ktorý</w:t>
            </w:r>
            <w:r w:rsidR="00A44AEC" w:rsidRPr="005E2672">
              <w:t xml:space="preserve"> je </w:t>
            </w:r>
            <w:r w:rsidR="005E2672" w:rsidRPr="005E2672">
              <w:t>majetkovoprávne vysporiadaný.</w:t>
            </w:r>
          </w:p>
        </w:tc>
      </w:tr>
      <w:tr w:rsidR="001F6697" w:rsidRPr="00497141" w14:paraId="09BC6B94" w14:textId="77777777" w:rsidTr="00B26DC2">
        <w:tc>
          <w:tcPr>
            <w:tcW w:w="971" w:type="dxa"/>
          </w:tcPr>
          <w:p w14:paraId="738ADC9B" w14:textId="281A95E8" w:rsidR="001F6697" w:rsidRDefault="001F6697" w:rsidP="001F6697">
            <w:r>
              <w:t>184.</w:t>
            </w:r>
          </w:p>
        </w:tc>
        <w:tc>
          <w:tcPr>
            <w:tcW w:w="6117" w:type="dxa"/>
          </w:tcPr>
          <w:p w14:paraId="313E180D" w14:textId="455BF8BC" w:rsidR="001F6697" w:rsidRDefault="001F6697" w:rsidP="001F6697">
            <w:pPr>
              <w:jc w:val="both"/>
            </w:pPr>
            <w:r>
              <w:t>Domnievame sa správne, že predmetom diela nebude ani vypracovanie geometrického plánu? (v prípade zápornej odpovede žiadame obstarávateľa o jej zdôvodnenie, ako aj o doplnenie adekvátnej položky do výkazu výmer)</w:t>
            </w:r>
          </w:p>
        </w:tc>
        <w:tc>
          <w:tcPr>
            <w:tcW w:w="9214" w:type="dxa"/>
          </w:tcPr>
          <w:p w14:paraId="362D7A5F" w14:textId="772FE965" w:rsidR="001F6697" w:rsidRPr="005E2672" w:rsidRDefault="001F6697" w:rsidP="001F6697">
            <w:pPr>
              <w:jc w:val="both"/>
              <w:rPr>
                <w:color w:val="000000" w:themeColor="text1"/>
              </w:rPr>
            </w:pPr>
            <w:r w:rsidRPr="005E2672">
              <w:rPr>
                <w:color w:val="000000" w:themeColor="text1"/>
              </w:rPr>
              <w:t>Súčasťou DSRS sú aj porealizačné geometrické plány v zmysle bodu 3.18 ZTKP, ktoré uchádzač/zhotoviteľ ocení vo  svojej ponuke.</w:t>
            </w:r>
          </w:p>
        </w:tc>
      </w:tr>
      <w:tr w:rsidR="00E41DC0" w:rsidRPr="00497141" w14:paraId="2665E30B" w14:textId="77777777" w:rsidTr="00B26DC2">
        <w:tc>
          <w:tcPr>
            <w:tcW w:w="971" w:type="dxa"/>
          </w:tcPr>
          <w:p w14:paraId="1C77B0CF" w14:textId="6A427A42" w:rsidR="00E41DC0" w:rsidRDefault="00E41DC0" w:rsidP="00E41DC0">
            <w:r>
              <w:t>185.</w:t>
            </w:r>
          </w:p>
        </w:tc>
        <w:tc>
          <w:tcPr>
            <w:tcW w:w="6117" w:type="dxa"/>
          </w:tcPr>
          <w:p w14:paraId="36C6B6D6" w14:textId="1CAEF82F" w:rsidR="00E41DC0" w:rsidRDefault="00E41DC0" w:rsidP="00E41DC0">
            <w:pPr>
              <w:jc w:val="both"/>
            </w:pPr>
            <w:r>
              <w:t>Domnievame sa, že projektová dokumentácia k objektu SO 231 neobsahuje kompletné podklady pre spracovanie cenovej ponuky – chýbajú v nej výkazy materiálu niektorých oceľových konštrukcií (zábradlia, zvodidlá ...), z ktorých by bola zrejmá ich hmotnosť, rovnako tak chýba výpis kotevných prvkov. Žiadame obstarávateľa o doplnenie chýbajúcich podkladov.</w:t>
            </w:r>
          </w:p>
        </w:tc>
        <w:tc>
          <w:tcPr>
            <w:tcW w:w="9214" w:type="dxa"/>
          </w:tcPr>
          <w:p w14:paraId="748886E4" w14:textId="77777777" w:rsidR="00E41DC0" w:rsidRPr="007753E2" w:rsidRDefault="00E41DC0" w:rsidP="00E41DC0">
            <w:pPr>
              <w:jc w:val="both"/>
              <w:rPr>
                <w:color w:val="000000" w:themeColor="text1"/>
              </w:rPr>
            </w:pPr>
            <w:r w:rsidRPr="007753E2">
              <w:rPr>
                <w:color w:val="000000" w:themeColor="text1"/>
              </w:rPr>
              <w:t>Doplnenie podkladov : zábradlie:</w:t>
            </w:r>
          </w:p>
          <w:p w14:paraId="34ABD9B5" w14:textId="77777777" w:rsidR="00E41DC0" w:rsidRPr="007753E2" w:rsidRDefault="00E41DC0" w:rsidP="00E41DC0">
            <w:pPr>
              <w:rPr>
                <w:color w:val="000000" w:themeColor="text1"/>
              </w:rPr>
            </w:pPr>
            <w:r w:rsidRPr="007753E2">
              <w:rPr>
                <w:color w:val="000000" w:themeColor="text1"/>
              </w:rPr>
              <w:t>Hmotnosť rámov = 2081,5 kg</w:t>
            </w:r>
          </w:p>
          <w:p w14:paraId="3FCBB86A" w14:textId="77777777" w:rsidR="00E41DC0" w:rsidRPr="007753E2" w:rsidRDefault="00E41DC0" w:rsidP="00E41DC0">
            <w:pPr>
              <w:rPr>
                <w:color w:val="000000" w:themeColor="text1"/>
              </w:rPr>
            </w:pPr>
            <w:r w:rsidRPr="007753E2">
              <w:rPr>
                <w:color w:val="000000" w:themeColor="text1"/>
              </w:rPr>
              <w:t>Hmotnosť kotevných dosiek = 216kg</w:t>
            </w:r>
          </w:p>
          <w:p w14:paraId="056E952D" w14:textId="77777777" w:rsidR="00E41DC0" w:rsidRPr="007753E2" w:rsidRDefault="00E41DC0" w:rsidP="00E41DC0">
            <w:pPr>
              <w:rPr>
                <w:color w:val="000000" w:themeColor="text1"/>
              </w:rPr>
            </w:pPr>
            <w:r w:rsidRPr="007753E2">
              <w:rPr>
                <w:color w:val="000000" w:themeColor="text1"/>
              </w:rPr>
              <w:t>Plocha ťahokovu = 345,2 m2</w:t>
            </w:r>
          </w:p>
          <w:p w14:paraId="7E5D8A94" w14:textId="77777777" w:rsidR="00E41DC0" w:rsidRPr="007753E2" w:rsidRDefault="00E41DC0" w:rsidP="00E41DC0">
            <w:pPr>
              <w:rPr>
                <w:color w:val="000000" w:themeColor="text1"/>
              </w:rPr>
            </w:pPr>
            <w:r w:rsidRPr="007753E2">
              <w:rPr>
                <w:color w:val="000000" w:themeColor="text1"/>
              </w:rPr>
              <w:t>Plocha pletiva = 722,4 m2</w:t>
            </w:r>
          </w:p>
          <w:p w14:paraId="659A488C" w14:textId="77777777" w:rsidR="00E41DC0" w:rsidRPr="007753E2" w:rsidRDefault="00E41DC0" w:rsidP="00E41DC0">
            <w:pPr>
              <w:rPr>
                <w:color w:val="000000" w:themeColor="text1"/>
              </w:rPr>
            </w:pPr>
            <w:r w:rsidRPr="007753E2">
              <w:rPr>
                <w:color w:val="000000" w:themeColor="text1"/>
              </w:rPr>
              <w:t>Počet kotiev = 1 080 ks (360 ks kotevných prvkov)</w:t>
            </w:r>
          </w:p>
          <w:p w14:paraId="00610E15" w14:textId="6ADE1B91" w:rsidR="00E41DC0" w:rsidRPr="00497141" w:rsidRDefault="00E41DC0" w:rsidP="00E41DC0">
            <w:pPr>
              <w:jc w:val="both"/>
            </w:pPr>
            <w:r w:rsidRPr="007753E2">
              <w:rPr>
                <w:color w:val="000000" w:themeColor="text1"/>
              </w:rPr>
              <w:t>Verejný obstarávateľ nebude upresňovať hmotnosť zvodidla, výber typu zvodidla je na zhotoviteľovi, rozhodujúca je úroveň zadržania</w:t>
            </w:r>
          </w:p>
        </w:tc>
      </w:tr>
      <w:tr w:rsidR="00E41DC0" w:rsidRPr="00497141" w14:paraId="7F485956" w14:textId="77777777" w:rsidTr="00B26DC2">
        <w:tc>
          <w:tcPr>
            <w:tcW w:w="971" w:type="dxa"/>
          </w:tcPr>
          <w:p w14:paraId="2DC3E54E" w14:textId="7505310B" w:rsidR="00E41DC0" w:rsidRDefault="00E41DC0" w:rsidP="00E41DC0">
            <w:r>
              <w:t>186.</w:t>
            </w:r>
          </w:p>
        </w:tc>
        <w:tc>
          <w:tcPr>
            <w:tcW w:w="6117" w:type="dxa"/>
          </w:tcPr>
          <w:p w14:paraId="4F40AE10" w14:textId="0764246C" w:rsidR="00E41DC0" w:rsidRDefault="00E41DC0" w:rsidP="00E41DC0">
            <w:pPr>
              <w:jc w:val="both"/>
            </w:pPr>
            <w:r>
              <w:t>Pripúšťa obstarávateľ realizáciu ochrannej vrstvy izolácie (ložnej asfaltovej vrstvy) na mostných objektoch z asfaltového betónu AC 11 obrus PMB 45/80-75;I hr. 45 mm?</w:t>
            </w:r>
          </w:p>
        </w:tc>
        <w:tc>
          <w:tcPr>
            <w:tcW w:w="9214" w:type="dxa"/>
          </w:tcPr>
          <w:p w14:paraId="7F6275A6" w14:textId="2D721D8F" w:rsidR="00E41DC0" w:rsidRPr="00497141" w:rsidRDefault="00E41DC0" w:rsidP="00E41DC0">
            <w:pPr>
              <w:jc w:val="both"/>
            </w:pPr>
            <w:r>
              <w:t>Platí PD. Platia súťažné podklady.</w:t>
            </w:r>
          </w:p>
        </w:tc>
      </w:tr>
      <w:tr w:rsidR="00E41DC0" w:rsidRPr="00497141" w14:paraId="6D4A8EE7" w14:textId="77777777" w:rsidTr="00B26DC2">
        <w:tc>
          <w:tcPr>
            <w:tcW w:w="971" w:type="dxa"/>
          </w:tcPr>
          <w:p w14:paraId="15983826" w14:textId="34CD230D" w:rsidR="00E41DC0" w:rsidRDefault="00E41DC0" w:rsidP="00E41DC0">
            <w:r>
              <w:t>187.</w:t>
            </w:r>
          </w:p>
        </w:tc>
        <w:tc>
          <w:tcPr>
            <w:tcW w:w="6117" w:type="dxa"/>
          </w:tcPr>
          <w:p w14:paraId="0BAEBFAF" w14:textId="6E7265C7" w:rsidR="00E41DC0" w:rsidRDefault="00E41DC0" w:rsidP="00E41DC0">
            <w:pPr>
              <w:jc w:val="both"/>
            </w:pPr>
            <w:r>
              <w:t>Vo výkaze výmer k SO 232 je podľa nášho názoru pri položke č. 30 (Zvislé konštrukcie inžinierskych stavieb, opory, debnenie tradičné) uvedená nesprávna výmera (2,51m2), nakoľko podľa pomocného výpočtu by správna výmera mala byť 4,32m2 (0,9*4*0,3*2*2) Žiadame obstarávateľa o opravu výkazu výmer</w:t>
            </w:r>
          </w:p>
        </w:tc>
        <w:tc>
          <w:tcPr>
            <w:tcW w:w="9214" w:type="dxa"/>
          </w:tcPr>
          <w:p w14:paraId="1C4B5A70" w14:textId="77777777" w:rsidR="00E41DC0" w:rsidRPr="005E2672" w:rsidRDefault="00E41DC0" w:rsidP="00E41DC0">
            <w:pPr>
              <w:pStyle w:val="Obyajntext"/>
              <w:rPr>
                <w:rFonts w:cs="Calibri"/>
                <w:color w:val="000000" w:themeColor="text1"/>
              </w:rPr>
            </w:pPr>
            <w:r w:rsidRPr="005E2672">
              <w:rPr>
                <w:rFonts w:cs="Calibri"/>
                <w:color w:val="000000" w:themeColor="text1"/>
              </w:rPr>
              <w:t xml:space="preserve">Výmera má byť 4,32m2. Opravený výkaz výmer je v prílohe. </w:t>
            </w:r>
          </w:p>
          <w:p w14:paraId="49FC40B0" w14:textId="77777777" w:rsidR="00E41DC0" w:rsidRPr="00497141" w:rsidRDefault="00E41DC0" w:rsidP="004B0BE3">
            <w:pPr>
              <w:jc w:val="both"/>
            </w:pPr>
          </w:p>
        </w:tc>
      </w:tr>
      <w:tr w:rsidR="00E41DC0" w:rsidRPr="00497141" w14:paraId="62AE0938" w14:textId="77777777" w:rsidTr="00B26DC2">
        <w:tc>
          <w:tcPr>
            <w:tcW w:w="971" w:type="dxa"/>
          </w:tcPr>
          <w:p w14:paraId="6059347E" w14:textId="6F573558" w:rsidR="00E41DC0" w:rsidRDefault="00E41DC0" w:rsidP="00E41DC0">
            <w:r w:rsidRPr="005E2672">
              <w:t>188.</w:t>
            </w:r>
          </w:p>
        </w:tc>
        <w:tc>
          <w:tcPr>
            <w:tcW w:w="6117" w:type="dxa"/>
          </w:tcPr>
          <w:p w14:paraId="593FBA49" w14:textId="239EB95C" w:rsidR="00E41DC0" w:rsidRPr="000E7A4F" w:rsidRDefault="00E41DC0" w:rsidP="00E41DC0">
            <w:pPr>
              <w:jc w:val="both"/>
              <w:rPr>
                <w:color w:val="000000" w:themeColor="text1"/>
              </w:rPr>
            </w:pPr>
            <w:r w:rsidRPr="000E7A4F">
              <w:rPr>
                <w:color w:val="000000" w:themeColor="text1"/>
              </w:rPr>
              <w:t>Ku odpovedi 141, chápeme správne že informačné tabule nie sú súčasťou CP ? Tak potom žiadame upraviť VV pre objekty SO 305,304.</w:t>
            </w:r>
          </w:p>
        </w:tc>
        <w:tc>
          <w:tcPr>
            <w:tcW w:w="9214" w:type="dxa"/>
          </w:tcPr>
          <w:p w14:paraId="7859E08B" w14:textId="77777777" w:rsidR="00E41DC0" w:rsidRPr="00D22989" w:rsidRDefault="00E41DC0" w:rsidP="00E41DC0">
            <w:pPr>
              <w:jc w:val="both"/>
              <w:rPr>
                <w:color w:val="000000" w:themeColor="text1"/>
              </w:rPr>
            </w:pPr>
            <w:r w:rsidRPr="00D22989">
              <w:rPr>
                <w:color w:val="000000" w:themeColor="text1"/>
              </w:rPr>
              <w:t>Nie, chápete nesprávne. Informačné tabule sú súčasťou CP, veľkosť tabúľ je štandardná ako pri porovnateľných stavbách. Presná veľkosť inf. tabúl bude stanovená v DVP.</w:t>
            </w:r>
          </w:p>
          <w:p w14:paraId="7CDA6DAA" w14:textId="696D2CA9" w:rsidR="00E41DC0" w:rsidRPr="00D22989" w:rsidRDefault="00E41DC0" w:rsidP="00E41DC0">
            <w:pPr>
              <w:jc w:val="both"/>
              <w:rPr>
                <w:color w:val="000000" w:themeColor="text1"/>
              </w:rPr>
            </w:pPr>
          </w:p>
        </w:tc>
      </w:tr>
      <w:tr w:rsidR="00E41DC0" w:rsidRPr="00497141" w14:paraId="586A59A5" w14:textId="77777777" w:rsidTr="00B26DC2">
        <w:tc>
          <w:tcPr>
            <w:tcW w:w="971" w:type="dxa"/>
          </w:tcPr>
          <w:p w14:paraId="07FA5B1E" w14:textId="19B43EB3" w:rsidR="00E41DC0" w:rsidRDefault="00E41DC0" w:rsidP="00E41DC0">
            <w:r>
              <w:t>189.</w:t>
            </w:r>
          </w:p>
        </w:tc>
        <w:tc>
          <w:tcPr>
            <w:tcW w:w="6117" w:type="dxa"/>
          </w:tcPr>
          <w:p w14:paraId="2A864D70" w14:textId="5CE7107A" w:rsidR="00E41DC0" w:rsidRDefault="00E41DC0" w:rsidP="00E41DC0">
            <w:pPr>
              <w:jc w:val="both"/>
            </w:pPr>
            <w:r>
              <w:t>Vzhľadom na to, že vysvetlenia boli zverejnené až v piatok poobede 22.01.2021 a v nich sú uvedené viaceré zmeny jednotlivých VV ako aj boli doplnené viaceré prílohy, na ktoré nielen uchádzač ale aj jeho subdodávatelia potrebujú na spracovanie dlhší čas (a nie len 4 pracovné dni), žiadame VO o adekvátne posunutie termínu predkladanie ponuky.</w:t>
            </w:r>
          </w:p>
        </w:tc>
        <w:tc>
          <w:tcPr>
            <w:tcW w:w="9214" w:type="dxa"/>
          </w:tcPr>
          <w:p w14:paraId="7D559CB9" w14:textId="454DE623" w:rsidR="00E41DC0" w:rsidRPr="00497141" w:rsidRDefault="001F75D3" w:rsidP="00E41DC0">
            <w:pPr>
              <w:jc w:val="both"/>
            </w:pPr>
            <w:r>
              <w:t>Verejný obstarávateľ predĺžil lehotu na predkladanie ponúk na 9.2.2021 a považuje ju za dostatočnú.</w:t>
            </w:r>
          </w:p>
        </w:tc>
      </w:tr>
      <w:tr w:rsidR="00E41DC0" w:rsidRPr="00497141" w14:paraId="3DFF2015" w14:textId="77777777" w:rsidTr="00B26DC2">
        <w:tc>
          <w:tcPr>
            <w:tcW w:w="971" w:type="dxa"/>
          </w:tcPr>
          <w:p w14:paraId="4D672714" w14:textId="4841676C" w:rsidR="00E41DC0" w:rsidRDefault="00E41DC0" w:rsidP="00E41DC0">
            <w:r>
              <w:t>190.</w:t>
            </w:r>
          </w:p>
        </w:tc>
        <w:tc>
          <w:tcPr>
            <w:tcW w:w="6117" w:type="dxa"/>
          </w:tcPr>
          <w:p w14:paraId="0953127F" w14:textId="28079F6B" w:rsidR="00E41DC0" w:rsidRDefault="00E41DC0" w:rsidP="00E41DC0">
            <w:pPr>
              <w:jc w:val="both"/>
            </w:pPr>
            <w:r>
              <w:t>Vo svojej odpovedi č. 95 píšete, že v prílohe má byť aj opravený VV na SO 684. No v priloženom Tendri žiadna zmena nie je na SO 684.</w:t>
            </w:r>
          </w:p>
        </w:tc>
        <w:tc>
          <w:tcPr>
            <w:tcW w:w="9214" w:type="dxa"/>
          </w:tcPr>
          <w:p w14:paraId="340CAE4B" w14:textId="77777777" w:rsidR="00E41DC0" w:rsidRPr="005E2672" w:rsidRDefault="00E41DC0" w:rsidP="00E41DC0">
            <w:pPr>
              <w:jc w:val="both"/>
              <w:rPr>
                <w:color w:val="000000" w:themeColor="text1"/>
              </w:rPr>
            </w:pPr>
            <w:r w:rsidRPr="005E2672">
              <w:rPr>
                <w:color w:val="000000" w:themeColor="text1"/>
              </w:rPr>
              <w:t>Platí odpoveď č.95.</w:t>
            </w:r>
          </w:p>
          <w:p w14:paraId="658739C0" w14:textId="77777777" w:rsidR="00E41DC0" w:rsidRPr="005E2672" w:rsidRDefault="00E41DC0" w:rsidP="00E41DC0">
            <w:pPr>
              <w:jc w:val="both"/>
              <w:rPr>
                <w:color w:val="000000" w:themeColor="text1"/>
              </w:rPr>
            </w:pPr>
            <w:r w:rsidRPr="005E2672">
              <w:rPr>
                <w:color w:val="000000" w:themeColor="text1"/>
              </w:rPr>
              <w:t xml:space="preserve">Upresnenie: konzola doplnená do položky č.11 </w:t>
            </w:r>
          </w:p>
          <w:tbl>
            <w:tblPr>
              <w:tblW w:w="8260" w:type="dxa"/>
              <w:tblLayout w:type="fixed"/>
              <w:tblCellMar>
                <w:left w:w="70" w:type="dxa"/>
                <w:right w:w="70" w:type="dxa"/>
              </w:tblCellMar>
              <w:tblLook w:val="04A0" w:firstRow="1" w:lastRow="0" w:firstColumn="1" w:lastColumn="0" w:noHBand="0" w:noVBand="1"/>
            </w:tblPr>
            <w:tblGrid>
              <w:gridCol w:w="1240"/>
              <w:gridCol w:w="4560"/>
              <w:gridCol w:w="840"/>
              <w:gridCol w:w="580"/>
              <w:gridCol w:w="1040"/>
            </w:tblGrid>
            <w:tr w:rsidR="005E2672" w:rsidRPr="005E2672" w14:paraId="0E2FC78C" w14:textId="77777777" w:rsidTr="00CE05C3">
              <w:trPr>
                <w:trHeight w:val="510"/>
              </w:trPr>
              <w:tc>
                <w:tcPr>
                  <w:tcW w:w="1240" w:type="dxa"/>
                  <w:tcBorders>
                    <w:top w:val="nil"/>
                    <w:left w:val="single" w:sz="4" w:space="0" w:color="auto"/>
                    <w:bottom w:val="nil"/>
                    <w:right w:val="single" w:sz="4" w:space="0" w:color="auto"/>
                  </w:tcBorders>
                  <w:shd w:val="clear" w:color="auto" w:fill="auto"/>
                  <w:noWrap/>
                  <w:hideMark/>
                </w:tcPr>
                <w:p w14:paraId="0FBF7809" w14:textId="77777777" w:rsidR="00E41DC0" w:rsidRPr="005E2672" w:rsidRDefault="00E41DC0" w:rsidP="00E41DC0">
                  <w:pPr>
                    <w:spacing w:after="0" w:line="240" w:lineRule="auto"/>
                    <w:rPr>
                      <w:rFonts w:ascii="Arial CE" w:eastAsia="Times New Roman" w:hAnsi="Arial CE" w:cs="Times New Roman"/>
                      <w:color w:val="000000" w:themeColor="text1"/>
                      <w:sz w:val="20"/>
                      <w:szCs w:val="20"/>
                      <w:lang w:eastAsia="sk-SK"/>
                    </w:rPr>
                  </w:pPr>
                  <w:r w:rsidRPr="005E2672">
                    <w:rPr>
                      <w:rFonts w:ascii="Arial CE" w:eastAsia="Times New Roman" w:hAnsi="Arial CE" w:cs="Times New Roman"/>
                      <w:color w:val="000000" w:themeColor="text1"/>
                      <w:sz w:val="20"/>
                      <w:szCs w:val="20"/>
                      <w:lang w:eastAsia="sk-SK"/>
                    </w:rPr>
                    <w:t>9105010305</w:t>
                  </w:r>
                </w:p>
              </w:tc>
              <w:tc>
                <w:tcPr>
                  <w:tcW w:w="4560" w:type="dxa"/>
                  <w:tcBorders>
                    <w:top w:val="nil"/>
                    <w:left w:val="nil"/>
                    <w:bottom w:val="nil"/>
                    <w:right w:val="nil"/>
                  </w:tcBorders>
                  <w:shd w:val="clear" w:color="auto" w:fill="auto"/>
                  <w:hideMark/>
                </w:tcPr>
                <w:p w14:paraId="3F6C995B" w14:textId="77777777" w:rsidR="00E41DC0" w:rsidRPr="005E2672" w:rsidRDefault="00E41DC0" w:rsidP="00E41DC0">
                  <w:pPr>
                    <w:spacing w:after="0" w:line="240" w:lineRule="auto"/>
                    <w:rPr>
                      <w:rFonts w:ascii="Arial CE" w:eastAsia="Times New Roman" w:hAnsi="Arial CE" w:cs="Times New Roman"/>
                      <w:color w:val="000000" w:themeColor="text1"/>
                      <w:sz w:val="20"/>
                      <w:szCs w:val="20"/>
                      <w:lang w:eastAsia="sk-SK"/>
                    </w:rPr>
                  </w:pPr>
                  <w:r w:rsidRPr="005E2672">
                    <w:rPr>
                      <w:rFonts w:ascii="Arial CE" w:eastAsia="Times New Roman" w:hAnsi="Arial CE" w:cs="Times New Roman"/>
                      <w:color w:val="000000" w:themeColor="text1"/>
                      <w:sz w:val="20"/>
                      <w:szCs w:val="20"/>
                      <w:lang w:eastAsia="sk-SK"/>
                    </w:rPr>
                    <w:t xml:space="preserve">Vedenia nadzemné VN - stožiare vn jednoduché oceľové, priehradové, očíslovanie, rozvoz </w:t>
                  </w:r>
                </w:p>
              </w:tc>
              <w:tc>
                <w:tcPr>
                  <w:tcW w:w="840" w:type="dxa"/>
                  <w:tcBorders>
                    <w:top w:val="nil"/>
                    <w:left w:val="nil"/>
                    <w:bottom w:val="nil"/>
                    <w:right w:val="nil"/>
                  </w:tcBorders>
                  <w:shd w:val="clear" w:color="auto" w:fill="auto"/>
                  <w:vAlign w:val="bottom"/>
                  <w:hideMark/>
                </w:tcPr>
                <w:p w14:paraId="444418B7" w14:textId="77777777" w:rsidR="00E41DC0" w:rsidRPr="005E2672" w:rsidRDefault="00E41DC0" w:rsidP="00E41DC0">
                  <w:pPr>
                    <w:spacing w:after="0" w:line="240" w:lineRule="auto"/>
                    <w:rPr>
                      <w:rFonts w:ascii="Arial CE" w:eastAsia="Times New Roman" w:hAnsi="Arial CE" w:cs="Times New Roman"/>
                      <w:color w:val="000000" w:themeColor="text1"/>
                      <w:sz w:val="20"/>
                      <w:szCs w:val="20"/>
                      <w:lang w:eastAsia="sk-SK"/>
                    </w:rPr>
                  </w:pPr>
                </w:p>
              </w:tc>
              <w:tc>
                <w:tcPr>
                  <w:tcW w:w="580" w:type="dxa"/>
                  <w:tcBorders>
                    <w:top w:val="nil"/>
                    <w:left w:val="single" w:sz="4" w:space="0" w:color="auto"/>
                    <w:bottom w:val="nil"/>
                    <w:right w:val="single" w:sz="4" w:space="0" w:color="auto"/>
                  </w:tcBorders>
                  <w:shd w:val="clear" w:color="auto" w:fill="auto"/>
                  <w:noWrap/>
                  <w:hideMark/>
                </w:tcPr>
                <w:p w14:paraId="03750A76" w14:textId="77777777" w:rsidR="00E41DC0" w:rsidRPr="005E2672" w:rsidRDefault="00E41DC0" w:rsidP="00E41DC0">
                  <w:pPr>
                    <w:spacing w:after="0" w:line="240" w:lineRule="auto"/>
                    <w:jc w:val="center"/>
                    <w:rPr>
                      <w:rFonts w:ascii="Arial CE" w:eastAsia="Times New Roman" w:hAnsi="Arial CE" w:cs="Times New Roman"/>
                      <w:color w:val="000000" w:themeColor="text1"/>
                      <w:sz w:val="20"/>
                      <w:szCs w:val="20"/>
                      <w:lang w:eastAsia="sk-SK"/>
                    </w:rPr>
                  </w:pPr>
                  <w:r w:rsidRPr="005E2672">
                    <w:rPr>
                      <w:rFonts w:ascii="Arial CE" w:eastAsia="Times New Roman" w:hAnsi="Arial CE" w:cs="Times New Roman"/>
                      <w:color w:val="000000" w:themeColor="text1"/>
                      <w:sz w:val="20"/>
                      <w:szCs w:val="20"/>
                      <w:lang w:eastAsia="sk-SK"/>
                    </w:rPr>
                    <w:t>ks</w:t>
                  </w:r>
                </w:p>
              </w:tc>
              <w:tc>
                <w:tcPr>
                  <w:tcW w:w="1040" w:type="dxa"/>
                  <w:tcBorders>
                    <w:top w:val="nil"/>
                    <w:left w:val="nil"/>
                    <w:bottom w:val="nil"/>
                    <w:right w:val="single" w:sz="8" w:space="0" w:color="auto"/>
                  </w:tcBorders>
                  <w:shd w:val="clear" w:color="auto" w:fill="auto"/>
                  <w:hideMark/>
                </w:tcPr>
                <w:p w14:paraId="3C1F0C83" w14:textId="77777777" w:rsidR="00E41DC0" w:rsidRPr="005E2672" w:rsidRDefault="00E41DC0" w:rsidP="00E41DC0">
                  <w:pPr>
                    <w:spacing w:after="0" w:line="240" w:lineRule="auto"/>
                    <w:jc w:val="right"/>
                    <w:rPr>
                      <w:rFonts w:ascii="Arial CE" w:eastAsia="Times New Roman" w:hAnsi="Arial CE" w:cs="Times New Roman"/>
                      <w:color w:val="000000" w:themeColor="text1"/>
                      <w:sz w:val="20"/>
                      <w:szCs w:val="20"/>
                      <w:lang w:eastAsia="sk-SK"/>
                    </w:rPr>
                  </w:pPr>
                  <w:r w:rsidRPr="005E2672">
                    <w:rPr>
                      <w:rFonts w:ascii="Arial CE" w:eastAsia="Times New Roman" w:hAnsi="Arial CE" w:cs="Times New Roman"/>
                      <w:color w:val="000000" w:themeColor="text1"/>
                      <w:sz w:val="20"/>
                      <w:szCs w:val="20"/>
                      <w:lang w:eastAsia="sk-SK"/>
                    </w:rPr>
                    <w:t>1,00</w:t>
                  </w:r>
                </w:p>
              </w:tc>
            </w:tr>
            <w:tr w:rsidR="005E2672" w:rsidRPr="005E2672" w14:paraId="14823131" w14:textId="77777777" w:rsidTr="00CE05C3">
              <w:trPr>
                <w:trHeight w:val="255"/>
              </w:trPr>
              <w:tc>
                <w:tcPr>
                  <w:tcW w:w="1240" w:type="dxa"/>
                  <w:tcBorders>
                    <w:top w:val="nil"/>
                    <w:left w:val="single" w:sz="4" w:space="0" w:color="auto"/>
                    <w:bottom w:val="nil"/>
                    <w:right w:val="single" w:sz="4" w:space="0" w:color="auto"/>
                  </w:tcBorders>
                  <w:shd w:val="clear" w:color="auto" w:fill="auto"/>
                  <w:noWrap/>
                  <w:hideMark/>
                </w:tcPr>
                <w:p w14:paraId="5A07040C" w14:textId="77777777" w:rsidR="00E41DC0" w:rsidRPr="005E2672" w:rsidRDefault="00E41DC0" w:rsidP="00E41DC0">
                  <w:pPr>
                    <w:spacing w:after="0" w:line="240" w:lineRule="auto"/>
                    <w:rPr>
                      <w:rFonts w:ascii="Arial CE" w:eastAsia="Times New Roman" w:hAnsi="Arial CE" w:cs="Times New Roman"/>
                      <w:color w:val="000000" w:themeColor="text1"/>
                      <w:sz w:val="20"/>
                      <w:szCs w:val="20"/>
                      <w:lang w:eastAsia="sk-SK"/>
                    </w:rPr>
                  </w:pPr>
                  <w:r w:rsidRPr="005E2672">
                    <w:rPr>
                      <w:rFonts w:ascii="Arial CE" w:eastAsia="Times New Roman" w:hAnsi="Arial CE" w:cs="Times New Roman"/>
                      <w:color w:val="000000" w:themeColor="text1"/>
                      <w:sz w:val="20"/>
                      <w:szCs w:val="20"/>
                      <w:lang w:eastAsia="sk-SK"/>
                    </w:rPr>
                    <w:t> </w:t>
                  </w:r>
                </w:p>
              </w:tc>
              <w:tc>
                <w:tcPr>
                  <w:tcW w:w="4560" w:type="dxa"/>
                  <w:tcBorders>
                    <w:top w:val="nil"/>
                    <w:left w:val="nil"/>
                    <w:bottom w:val="nil"/>
                    <w:right w:val="nil"/>
                  </w:tcBorders>
                  <w:shd w:val="clear" w:color="auto" w:fill="auto"/>
                  <w:hideMark/>
                </w:tcPr>
                <w:p w14:paraId="5A33376B" w14:textId="77777777" w:rsidR="00E41DC0" w:rsidRPr="005E2672" w:rsidRDefault="00E41DC0" w:rsidP="00E41DC0">
                  <w:pPr>
                    <w:spacing w:after="0" w:line="240" w:lineRule="auto"/>
                    <w:rPr>
                      <w:rFonts w:ascii="Arial CE" w:eastAsia="Times New Roman" w:hAnsi="Arial CE" w:cs="Times New Roman"/>
                      <w:i/>
                      <w:iCs/>
                      <w:color w:val="000000" w:themeColor="text1"/>
                      <w:sz w:val="20"/>
                      <w:szCs w:val="20"/>
                      <w:lang w:eastAsia="sk-SK"/>
                    </w:rPr>
                  </w:pPr>
                  <w:r w:rsidRPr="005E2672">
                    <w:rPr>
                      <w:rFonts w:ascii="Arial CE" w:eastAsia="Times New Roman" w:hAnsi="Arial CE" w:cs="Times New Roman"/>
                      <w:i/>
                      <w:iCs/>
                      <w:color w:val="000000" w:themeColor="text1"/>
                      <w:sz w:val="20"/>
                      <w:szCs w:val="20"/>
                      <w:lang w:eastAsia="sk-SK"/>
                    </w:rPr>
                    <w:t xml:space="preserve"> - vrátane konzoly dĺ. 3,0m (typ A3)</w:t>
                  </w:r>
                </w:p>
              </w:tc>
              <w:tc>
                <w:tcPr>
                  <w:tcW w:w="840" w:type="dxa"/>
                  <w:tcBorders>
                    <w:top w:val="nil"/>
                    <w:left w:val="nil"/>
                    <w:bottom w:val="nil"/>
                    <w:right w:val="nil"/>
                  </w:tcBorders>
                  <w:shd w:val="clear" w:color="auto" w:fill="auto"/>
                  <w:vAlign w:val="bottom"/>
                  <w:hideMark/>
                </w:tcPr>
                <w:p w14:paraId="79E1F5C2" w14:textId="77777777" w:rsidR="00E41DC0" w:rsidRPr="005E2672" w:rsidRDefault="00E41DC0" w:rsidP="00E41DC0">
                  <w:pPr>
                    <w:spacing w:after="0" w:line="240" w:lineRule="auto"/>
                    <w:rPr>
                      <w:rFonts w:ascii="Arial CE" w:eastAsia="Times New Roman" w:hAnsi="Arial CE" w:cs="Times New Roman"/>
                      <w:i/>
                      <w:iCs/>
                      <w:color w:val="000000" w:themeColor="text1"/>
                      <w:sz w:val="20"/>
                      <w:szCs w:val="20"/>
                      <w:lang w:eastAsia="sk-SK"/>
                    </w:rPr>
                  </w:pPr>
                </w:p>
              </w:tc>
              <w:tc>
                <w:tcPr>
                  <w:tcW w:w="580" w:type="dxa"/>
                  <w:tcBorders>
                    <w:top w:val="nil"/>
                    <w:left w:val="single" w:sz="4" w:space="0" w:color="auto"/>
                    <w:bottom w:val="nil"/>
                    <w:right w:val="single" w:sz="4" w:space="0" w:color="auto"/>
                  </w:tcBorders>
                  <w:shd w:val="clear" w:color="auto" w:fill="auto"/>
                  <w:noWrap/>
                  <w:hideMark/>
                </w:tcPr>
                <w:p w14:paraId="6C9E1746" w14:textId="77777777" w:rsidR="00E41DC0" w:rsidRPr="005E2672" w:rsidRDefault="00E41DC0" w:rsidP="00E41DC0">
                  <w:pPr>
                    <w:spacing w:after="0" w:line="240" w:lineRule="auto"/>
                    <w:jc w:val="center"/>
                    <w:rPr>
                      <w:rFonts w:ascii="Arial CE" w:eastAsia="Times New Roman" w:hAnsi="Arial CE" w:cs="Times New Roman"/>
                      <w:color w:val="000000" w:themeColor="text1"/>
                      <w:sz w:val="20"/>
                      <w:szCs w:val="20"/>
                      <w:lang w:eastAsia="sk-SK"/>
                    </w:rPr>
                  </w:pPr>
                  <w:r w:rsidRPr="005E2672">
                    <w:rPr>
                      <w:rFonts w:ascii="Arial CE" w:eastAsia="Times New Roman" w:hAnsi="Arial CE" w:cs="Times New Roman"/>
                      <w:color w:val="000000" w:themeColor="text1"/>
                      <w:sz w:val="20"/>
                      <w:szCs w:val="20"/>
                      <w:lang w:eastAsia="sk-SK"/>
                    </w:rPr>
                    <w:t> </w:t>
                  </w:r>
                </w:p>
              </w:tc>
              <w:tc>
                <w:tcPr>
                  <w:tcW w:w="1040" w:type="dxa"/>
                  <w:tcBorders>
                    <w:top w:val="nil"/>
                    <w:left w:val="nil"/>
                    <w:bottom w:val="nil"/>
                    <w:right w:val="single" w:sz="8" w:space="0" w:color="auto"/>
                  </w:tcBorders>
                  <w:shd w:val="clear" w:color="auto" w:fill="auto"/>
                  <w:hideMark/>
                </w:tcPr>
                <w:p w14:paraId="07EFC5C1" w14:textId="77777777" w:rsidR="00E41DC0" w:rsidRPr="005E2672" w:rsidRDefault="00E41DC0" w:rsidP="00E41DC0">
                  <w:pPr>
                    <w:spacing w:after="0" w:line="240" w:lineRule="auto"/>
                    <w:jc w:val="right"/>
                    <w:rPr>
                      <w:rFonts w:ascii="Arial CE" w:eastAsia="Times New Roman" w:hAnsi="Arial CE" w:cs="Times New Roman"/>
                      <w:color w:val="000000" w:themeColor="text1"/>
                      <w:sz w:val="20"/>
                      <w:szCs w:val="20"/>
                      <w:lang w:eastAsia="sk-SK"/>
                    </w:rPr>
                  </w:pPr>
                  <w:r w:rsidRPr="005E2672">
                    <w:rPr>
                      <w:rFonts w:ascii="Arial CE" w:eastAsia="Times New Roman" w:hAnsi="Arial CE" w:cs="Times New Roman"/>
                      <w:color w:val="000000" w:themeColor="text1"/>
                      <w:sz w:val="20"/>
                      <w:szCs w:val="20"/>
                      <w:lang w:eastAsia="sk-SK"/>
                    </w:rPr>
                    <w:t> </w:t>
                  </w:r>
                </w:p>
              </w:tc>
            </w:tr>
          </w:tbl>
          <w:p w14:paraId="52F938A6" w14:textId="77777777" w:rsidR="00E41DC0" w:rsidRPr="005E2672" w:rsidRDefault="00E41DC0" w:rsidP="00E41DC0">
            <w:pPr>
              <w:jc w:val="both"/>
              <w:rPr>
                <w:color w:val="000000" w:themeColor="text1"/>
              </w:rPr>
            </w:pPr>
          </w:p>
        </w:tc>
      </w:tr>
      <w:tr w:rsidR="00E41DC0" w:rsidRPr="00497141" w14:paraId="7DDE5C68" w14:textId="77777777" w:rsidTr="00B26DC2">
        <w:tc>
          <w:tcPr>
            <w:tcW w:w="971" w:type="dxa"/>
          </w:tcPr>
          <w:p w14:paraId="7F7E8F0E" w14:textId="4F2EE3D4" w:rsidR="00E41DC0" w:rsidRDefault="00E41DC0" w:rsidP="00E41DC0">
            <w:r>
              <w:t>191.</w:t>
            </w:r>
          </w:p>
        </w:tc>
        <w:tc>
          <w:tcPr>
            <w:tcW w:w="6117" w:type="dxa"/>
          </w:tcPr>
          <w:p w14:paraId="35430C97" w14:textId="540CDDB5" w:rsidR="00E41DC0" w:rsidRPr="00F44194" w:rsidRDefault="00E41DC0" w:rsidP="00E41DC0">
            <w:pPr>
              <w:jc w:val="both"/>
              <w:rPr>
                <w:highlight w:val="yellow"/>
              </w:rPr>
            </w:pPr>
            <w:r w:rsidRPr="003A3F12">
              <w:t>Dňa 22.1.2021 obstarávateľ zverejnil pomerne značné množstvo odpovedí, ktoré zmenili rozsah predmetu zákazky takým spôsobom, že bola nutná dokonca aj úprava výkazu výmer. Žiadame preto obstarávateľa o opravu predpokladanej hodnoty zákazky.</w:t>
            </w:r>
          </w:p>
        </w:tc>
        <w:tc>
          <w:tcPr>
            <w:tcW w:w="9214" w:type="dxa"/>
          </w:tcPr>
          <w:p w14:paraId="6846C41C" w14:textId="5DF1B0F6" w:rsidR="00E41DC0" w:rsidRPr="00497141" w:rsidRDefault="001F75D3" w:rsidP="00E41DC0">
            <w:pPr>
              <w:jc w:val="both"/>
            </w:pPr>
            <w:r>
              <w:t>Verejný obstarávateľ predĺžil lehotu na predkladanie ponúk na 9.2.2021 a považuje ju za dostatočnú.</w:t>
            </w:r>
          </w:p>
        </w:tc>
      </w:tr>
      <w:tr w:rsidR="00E41DC0" w:rsidRPr="00497141" w14:paraId="4DF83D18" w14:textId="77777777" w:rsidTr="00B26DC2">
        <w:tc>
          <w:tcPr>
            <w:tcW w:w="971" w:type="dxa"/>
          </w:tcPr>
          <w:p w14:paraId="4ABDBA9D" w14:textId="2F6F0D81" w:rsidR="00E41DC0" w:rsidRDefault="00E41DC0" w:rsidP="00E41DC0">
            <w:r>
              <w:t>192</w:t>
            </w:r>
          </w:p>
        </w:tc>
        <w:tc>
          <w:tcPr>
            <w:tcW w:w="6117" w:type="dxa"/>
          </w:tcPr>
          <w:p w14:paraId="284CA8AF" w14:textId="77777777" w:rsidR="00E41DC0" w:rsidRPr="00602165" w:rsidRDefault="00E41DC0" w:rsidP="00E41DC0">
            <w:pPr>
              <w:jc w:val="both"/>
            </w:pPr>
            <w:r w:rsidRPr="00602165">
              <w:t>V nadväznosti na vysvetlenie zo dňa 22.1.2021, ku ktorému bol priložený výkaz výmer v pdf, nie je zrejmé, ktoré položky boli zmenené. Z uvedeného dôvodu žiadame predložiť výkaz výmer v exceli s vyznačením vykonaných zmien. Vzhľadom na uvedené žiadame aj o primerané predĺženie lehoty na predloženie ponuky.</w:t>
            </w:r>
          </w:p>
          <w:p w14:paraId="6BAD048E" w14:textId="1FF008E9" w:rsidR="00E41DC0" w:rsidRDefault="00E41DC0" w:rsidP="00E41DC0">
            <w:pPr>
              <w:jc w:val="both"/>
            </w:pPr>
            <w:r w:rsidRPr="00602165">
              <w:t>Zároveň si dovoľujeme požiadať aj o zjednotenie výkazu výmer týkajúci sa jednotlivých množstiev merných jednotiek zaokrúhlený na rovnaké desatinné miesta.</w:t>
            </w:r>
          </w:p>
        </w:tc>
        <w:tc>
          <w:tcPr>
            <w:tcW w:w="9214" w:type="dxa"/>
          </w:tcPr>
          <w:p w14:paraId="5692831F" w14:textId="77777777" w:rsidR="00E41DC0" w:rsidRPr="005E2672" w:rsidRDefault="00E41DC0" w:rsidP="00E41DC0">
            <w:pPr>
              <w:jc w:val="both"/>
              <w:rPr>
                <w:color w:val="000000" w:themeColor="text1"/>
              </w:rPr>
            </w:pPr>
            <w:r w:rsidRPr="005E2672">
              <w:rPr>
                <w:color w:val="000000" w:themeColor="text1"/>
              </w:rPr>
              <w:t>VO poskytol opravené výkazy výmer v štandardnej forme a formáte.</w:t>
            </w:r>
          </w:p>
          <w:p w14:paraId="6794AE86" w14:textId="219D41E1" w:rsidR="00E41DC0" w:rsidRPr="005E2672" w:rsidRDefault="00E41DC0" w:rsidP="00E41DC0">
            <w:pPr>
              <w:jc w:val="both"/>
              <w:rPr>
                <w:color w:val="000000" w:themeColor="text1"/>
              </w:rPr>
            </w:pPr>
            <w:r w:rsidRPr="005E2672">
              <w:rPr>
                <w:color w:val="000000" w:themeColor="text1"/>
              </w:rPr>
              <w:t>Výkaz výmer neslúži na priame ocenenie zákazky. K tomuto účelu slúži tender.xls, kde sú množstvá merných jednotiek zaokrúhlené na rovnaké desatinné miesta.</w:t>
            </w:r>
            <w:r w:rsidR="005936DB">
              <w:rPr>
                <w:color w:val="000000" w:themeColor="text1"/>
              </w:rPr>
              <w:t xml:space="preserve"> </w:t>
            </w:r>
            <w:r w:rsidR="005936DB" w:rsidRPr="00D22989">
              <w:rPr>
                <w:color w:val="000000" w:themeColor="text1"/>
              </w:rPr>
              <w:t xml:space="preserve">Napriek uvedenému faktu, poskytujeme opravené VV aj vo formáte .xls.  </w:t>
            </w:r>
            <w:r w:rsidR="00627AA9" w:rsidRPr="00D22989">
              <w:rPr>
                <w:color w:val="000000" w:themeColor="text1"/>
              </w:rPr>
              <w:t>(Príloha č. 1_VV- opravene v xls)</w:t>
            </w:r>
          </w:p>
        </w:tc>
      </w:tr>
      <w:tr w:rsidR="00E41DC0" w:rsidRPr="00497141" w14:paraId="4003C951" w14:textId="77777777" w:rsidTr="00B26DC2">
        <w:tc>
          <w:tcPr>
            <w:tcW w:w="971" w:type="dxa"/>
          </w:tcPr>
          <w:p w14:paraId="57BB78C0" w14:textId="164ED07A" w:rsidR="00E41DC0" w:rsidRDefault="00E41DC0" w:rsidP="00E41DC0">
            <w:r>
              <w:t>193</w:t>
            </w:r>
          </w:p>
        </w:tc>
        <w:tc>
          <w:tcPr>
            <w:tcW w:w="6117" w:type="dxa"/>
          </w:tcPr>
          <w:p w14:paraId="4E144560" w14:textId="34B92744" w:rsidR="00E41DC0" w:rsidRPr="00602165" w:rsidRDefault="00E41DC0" w:rsidP="00E41DC0">
            <w:pPr>
              <w:jc w:val="both"/>
            </w:pPr>
            <w:r>
              <w:rPr>
                <w:rFonts w:ascii="Open Sans" w:hAnsi="Open Sans"/>
                <w:color w:val="333333"/>
                <w:sz w:val="20"/>
                <w:szCs w:val="20"/>
                <w:shd w:val="clear" w:color="auto" w:fill="FFFFFF"/>
              </w:rPr>
              <w:t>V bode III.1.3.2.5.4 VO požaduje preukázať, že stavbyvedúci na cesty má odbornú prax za rozhodné obdobie 10 rokov s výkonom činnosti stavbyvedúceho na cestách za nasledovných podmienok:</w:t>
            </w:r>
            <w:r>
              <w:rPr>
                <w:rFonts w:ascii="Open Sans" w:hAnsi="Open Sans"/>
                <w:color w:val="333333"/>
                <w:sz w:val="20"/>
                <w:szCs w:val="20"/>
              </w:rPr>
              <w:br/>
            </w:r>
            <w:r>
              <w:rPr>
                <w:rFonts w:ascii="Open Sans" w:hAnsi="Open Sans"/>
                <w:color w:val="333333"/>
                <w:sz w:val="20"/>
                <w:szCs w:val="20"/>
                <w:shd w:val="clear" w:color="auto" w:fill="FFFFFF"/>
              </w:rPr>
              <w:t>a) účasť na realizácii** minimálne 1 projektu pri stavbách diaľnic, rýchlostných ciest, alebo ciest I.-III. triedy, s dĺžkou cestného objektu minimálne 1 km;</w:t>
            </w:r>
            <w:r>
              <w:rPr>
                <w:rFonts w:ascii="Open Sans" w:hAnsi="Open Sans"/>
                <w:color w:val="333333"/>
                <w:sz w:val="20"/>
                <w:szCs w:val="20"/>
              </w:rPr>
              <w:br/>
            </w:r>
            <w:r>
              <w:rPr>
                <w:rFonts w:ascii="Open Sans" w:hAnsi="Open Sans"/>
                <w:color w:val="333333"/>
                <w:sz w:val="20"/>
                <w:szCs w:val="20"/>
                <w:shd w:val="clear" w:color="auto" w:fill="FFFFFF"/>
              </w:rPr>
              <w:t>b) účasť na tomto projekte musí byť na pozícii stavbyvedúceho na cesty;</w:t>
            </w:r>
            <w:r>
              <w:rPr>
                <w:rFonts w:ascii="Open Sans" w:hAnsi="Open Sans"/>
                <w:color w:val="333333"/>
                <w:sz w:val="20"/>
                <w:szCs w:val="20"/>
              </w:rPr>
              <w:br/>
            </w:r>
            <w:r>
              <w:rPr>
                <w:rFonts w:ascii="Open Sans" w:hAnsi="Open Sans"/>
                <w:color w:val="333333"/>
                <w:sz w:val="20"/>
                <w:szCs w:val="20"/>
                <w:shd w:val="clear" w:color="auto" w:fill="FFFFFF"/>
              </w:rPr>
              <w:t>c) účasť na tomto projekte na danej pozícii musí byť v minimálnej dobe trvania zodpovedajúcej 50 % lehoty výstavby Projektu (za lehotu výstavby sa považuje lehota odo dňa vydania Oznámenia o začatí prác po vydanie Preberacieho protokolu);</w:t>
            </w:r>
            <w:r>
              <w:rPr>
                <w:rFonts w:ascii="Open Sans" w:hAnsi="Open Sans"/>
                <w:color w:val="333333"/>
                <w:sz w:val="20"/>
                <w:szCs w:val="20"/>
              </w:rPr>
              <w:br/>
            </w:r>
            <w:r>
              <w:rPr>
                <w:rFonts w:ascii="Open Sans" w:hAnsi="Open Sans"/>
                <w:color w:val="333333"/>
                <w:sz w:val="20"/>
                <w:szCs w:val="20"/>
                <w:shd w:val="clear" w:color="auto" w:fill="FFFFFF"/>
              </w:rPr>
              <w:t>d) tento projekt musí byť v celkovej zmluvnej cene stavebných prác projektu minimálne 5 000 000 eur (slovom päť miliónov eur) bez DPH.</w:t>
            </w:r>
            <w:r>
              <w:rPr>
                <w:rFonts w:ascii="Open Sans" w:hAnsi="Open Sans"/>
                <w:color w:val="333333"/>
                <w:sz w:val="20"/>
                <w:szCs w:val="20"/>
              </w:rPr>
              <w:br/>
            </w:r>
            <w:r>
              <w:rPr>
                <w:rFonts w:ascii="Open Sans" w:hAnsi="Open Sans"/>
                <w:color w:val="333333"/>
                <w:sz w:val="20"/>
                <w:szCs w:val="20"/>
                <w:shd w:val="clear" w:color="auto" w:fill="FFFFFF"/>
              </w:rPr>
              <w:t>**Poznámka: Realizáciou sa rozumie výstavba novej diaľnice, rýchlostnej cesty, cesty I.-III. triedy, alebo cesty obdobného charakteru šírkového usporiadania definovanom v STN alebo ekvivalentnej norme, ktorá však musí spĺňať šírkové parametre pre jednotlivé typy ciest v zmysle STN.</w:t>
            </w:r>
            <w:r>
              <w:rPr>
                <w:rFonts w:ascii="Open Sans" w:hAnsi="Open Sans"/>
                <w:color w:val="333333"/>
                <w:sz w:val="20"/>
                <w:szCs w:val="20"/>
              </w:rPr>
              <w:br/>
            </w:r>
            <w:r>
              <w:rPr>
                <w:rFonts w:ascii="Open Sans" w:hAnsi="Open Sans"/>
                <w:color w:val="333333"/>
                <w:sz w:val="20"/>
                <w:szCs w:val="20"/>
              </w:rPr>
              <w:br/>
            </w:r>
            <w:r>
              <w:rPr>
                <w:rFonts w:ascii="Open Sans" w:hAnsi="Open Sans"/>
                <w:color w:val="333333"/>
                <w:sz w:val="20"/>
                <w:szCs w:val="20"/>
                <w:shd w:val="clear" w:color="auto" w:fill="FFFFFF"/>
              </w:rPr>
              <w:t>Bude VO akceptovať aj projekty na rekonštrukciách ciest, ktoré spĺňajú uvedené požiadavky?</w:t>
            </w:r>
          </w:p>
        </w:tc>
        <w:tc>
          <w:tcPr>
            <w:tcW w:w="9214" w:type="dxa"/>
          </w:tcPr>
          <w:p w14:paraId="7AB655BA" w14:textId="4FAF6777" w:rsidR="00E41DC0" w:rsidRPr="00657534" w:rsidRDefault="001F75D3" w:rsidP="00E41DC0">
            <w:pPr>
              <w:jc w:val="both"/>
              <w:rPr>
                <w:color w:val="FF0000"/>
                <w:highlight w:val="cyan"/>
              </w:rPr>
            </w:pPr>
            <w:r>
              <w:t>Platia stanovené podmienky účasti.</w:t>
            </w:r>
          </w:p>
        </w:tc>
      </w:tr>
      <w:tr w:rsidR="00E41DC0" w:rsidRPr="00497141" w14:paraId="3B6AED5F" w14:textId="77777777" w:rsidTr="00B26DC2">
        <w:tc>
          <w:tcPr>
            <w:tcW w:w="971" w:type="dxa"/>
          </w:tcPr>
          <w:p w14:paraId="5A9B0A79" w14:textId="7F890E83" w:rsidR="00E41DC0" w:rsidRDefault="00E41DC0" w:rsidP="00E41DC0">
            <w:r>
              <w:t>194</w:t>
            </w:r>
          </w:p>
        </w:tc>
        <w:tc>
          <w:tcPr>
            <w:tcW w:w="6117" w:type="dxa"/>
          </w:tcPr>
          <w:p w14:paraId="10213C04" w14:textId="77777777" w:rsidR="00E41DC0" w:rsidRDefault="00E41DC0" w:rsidP="00E41DC0">
            <w:r>
              <w:t xml:space="preserve">Z odpovede na otázku.č.98/1 vyplýva, že množstvo podkladaného betónu pre prechodové dosky je vykázané v položke č.20, čo je však položka týkajúca sa </w:t>
            </w:r>
            <w:r>
              <w:rPr>
                <w:b/>
                <w:bCs/>
              </w:rPr>
              <w:t>debnenia</w:t>
            </w:r>
            <w:r>
              <w:t xml:space="preserve"> podkladných betónov pre opory, podpery a prech.dosky, avšak nie samotného betónu.</w:t>
            </w:r>
          </w:p>
          <w:p w14:paraId="66082B82" w14:textId="77777777" w:rsidR="00E41DC0" w:rsidRDefault="00E41DC0" w:rsidP="00E41DC0">
            <w:r>
              <w:t xml:space="preserve">Ten je pre opory a podpery vykázaný v položke 45.22.11_11010301, ale zabudlo sa na betón pre prechodové dosky.  </w:t>
            </w:r>
          </w:p>
          <w:p w14:paraId="627A140F" w14:textId="77777777" w:rsidR="00E41DC0" w:rsidRDefault="00E41DC0" w:rsidP="00E41DC0">
            <w:r>
              <w:t>Preto žiadame o úpravu množstva v položke 45.22.11_11010301.</w:t>
            </w:r>
          </w:p>
          <w:p w14:paraId="08EDB9AC" w14:textId="77777777" w:rsidR="00E41DC0" w:rsidRDefault="00E41DC0" w:rsidP="00E41DC0">
            <w:pPr>
              <w:jc w:val="both"/>
              <w:rPr>
                <w:rFonts w:ascii="Open Sans" w:hAnsi="Open Sans"/>
                <w:color w:val="333333"/>
                <w:sz w:val="20"/>
                <w:szCs w:val="20"/>
                <w:shd w:val="clear" w:color="auto" w:fill="FFFFFF"/>
              </w:rPr>
            </w:pPr>
          </w:p>
        </w:tc>
        <w:tc>
          <w:tcPr>
            <w:tcW w:w="9214" w:type="dxa"/>
          </w:tcPr>
          <w:p w14:paraId="683BB03D" w14:textId="77777777" w:rsidR="00B93251" w:rsidRDefault="00B93251" w:rsidP="00B93251">
            <w:pPr>
              <w:jc w:val="both"/>
            </w:pPr>
            <w:r>
              <w:t>Položka č. 45.22.11_11010301 v obj. 246 je navýšená o 22,7 m3 podkladného betónu prechodových dosiek.</w:t>
            </w:r>
          </w:p>
          <w:p w14:paraId="54E4F5CA" w14:textId="77777777" w:rsidR="00B93251" w:rsidRDefault="00B93251" w:rsidP="00B93251">
            <w:pPr>
              <w:pStyle w:val="Obyajntext"/>
            </w:pPr>
            <w:r>
              <w:t xml:space="preserve">Opravený výkaz výmer je v prílohe. </w:t>
            </w:r>
          </w:p>
          <w:p w14:paraId="6EB63A38" w14:textId="38E984D6" w:rsidR="00B93251" w:rsidRDefault="00B93251" w:rsidP="00B93251">
            <w:pPr>
              <w:jc w:val="both"/>
            </w:pPr>
            <w:bookmarkStart w:id="0" w:name="_GoBack"/>
            <w:bookmarkEnd w:id="0"/>
          </w:p>
          <w:p w14:paraId="22F8BCAD" w14:textId="77777777" w:rsidR="00E41DC0" w:rsidRPr="00657534" w:rsidRDefault="00E41DC0" w:rsidP="00E41DC0">
            <w:pPr>
              <w:jc w:val="both"/>
              <w:rPr>
                <w:color w:val="FF0000"/>
                <w:highlight w:val="cyan"/>
              </w:rPr>
            </w:pPr>
          </w:p>
        </w:tc>
      </w:tr>
    </w:tbl>
    <w:p w14:paraId="57F26298" w14:textId="77777777" w:rsidR="00954A9B" w:rsidRPr="00497141" w:rsidRDefault="00954A9B"/>
    <w:sectPr w:rsidR="00954A9B" w:rsidRPr="00497141" w:rsidSect="008123F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9149E" w14:textId="77777777" w:rsidR="000A2FE0" w:rsidRDefault="000A2FE0" w:rsidP="00E601C9">
      <w:pPr>
        <w:spacing w:after="0" w:line="240" w:lineRule="auto"/>
      </w:pPr>
      <w:r>
        <w:separator/>
      </w:r>
    </w:p>
  </w:endnote>
  <w:endnote w:type="continuationSeparator" w:id="0">
    <w:p w14:paraId="56319199" w14:textId="77777777" w:rsidR="000A2FE0" w:rsidRDefault="000A2FE0" w:rsidP="00E60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Times New Roman"/>
    <w:charset w:val="EE"/>
    <w:family w:val="swiss"/>
    <w:pitch w:val="variable"/>
    <w:sig w:usb0="00000000" w:usb1="500078FF" w:usb2="00000021" w:usb3="00000000" w:csb0="000001BF" w:csb1="00000000"/>
  </w:font>
  <w:font w:name="Arial Narrow">
    <w:panose1 w:val="020B0606020202030204"/>
    <w:charset w:val="EE"/>
    <w:family w:val="swiss"/>
    <w:pitch w:val="variable"/>
    <w:sig w:usb0="00000287" w:usb1="00000800" w:usb2="00000000" w:usb3="00000000" w:csb0="0000009F" w:csb1="00000000"/>
  </w:font>
  <w:font w:name="Open Sans">
    <w:altName w:val="Times New Roman"/>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49947" w14:textId="77777777" w:rsidR="000A2FE0" w:rsidRDefault="000A2FE0" w:rsidP="00E601C9">
      <w:pPr>
        <w:spacing w:after="0" w:line="240" w:lineRule="auto"/>
      </w:pPr>
      <w:r>
        <w:separator/>
      </w:r>
    </w:p>
  </w:footnote>
  <w:footnote w:type="continuationSeparator" w:id="0">
    <w:p w14:paraId="1AE2C7F1" w14:textId="77777777" w:rsidR="000A2FE0" w:rsidRDefault="000A2FE0" w:rsidP="00E601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3C40"/>
    <w:multiLevelType w:val="multilevel"/>
    <w:tmpl w:val="35C8B69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A5A4297"/>
    <w:multiLevelType w:val="hybridMultilevel"/>
    <w:tmpl w:val="186AF4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EFB31A2"/>
    <w:multiLevelType w:val="hybridMultilevel"/>
    <w:tmpl w:val="C4800010"/>
    <w:lvl w:ilvl="0" w:tplc="041B000F">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3" w15:restartNumberingAfterBreak="0">
    <w:nsid w:val="209070FC"/>
    <w:multiLevelType w:val="hybridMultilevel"/>
    <w:tmpl w:val="7460140C"/>
    <w:styleLink w:val="Importovantl1"/>
    <w:lvl w:ilvl="0" w:tplc="6E8ED30C">
      <w:start w:val="1"/>
      <w:numFmt w:val="bullet"/>
      <w:lvlText w:val="·"/>
      <w:lvlJc w:val="left"/>
      <w:pPr>
        <w:ind w:left="567" w:hanging="20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F8D49F64">
      <w:start w:val="1"/>
      <w:numFmt w:val="bullet"/>
      <w:lvlText w:val="o"/>
      <w:lvlJc w:val="left"/>
      <w:pPr>
        <w:ind w:left="1276" w:hanging="1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512C658A">
      <w:start w:val="1"/>
      <w:numFmt w:val="bullet"/>
      <w:lvlText w:val="▪"/>
      <w:lvlJc w:val="left"/>
      <w:pPr>
        <w:ind w:left="20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E5626D1A">
      <w:start w:val="1"/>
      <w:numFmt w:val="bullet"/>
      <w:lvlText w:val="·"/>
      <w:lvlJc w:val="left"/>
      <w:pPr>
        <w:ind w:left="2727" w:hanging="20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0F523906">
      <w:start w:val="1"/>
      <w:numFmt w:val="bullet"/>
      <w:lvlText w:val="o"/>
      <w:lvlJc w:val="left"/>
      <w:pPr>
        <w:ind w:left="344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6A43354">
      <w:start w:val="1"/>
      <w:numFmt w:val="bullet"/>
      <w:lvlText w:val="▪"/>
      <w:lvlJc w:val="left"/>
      <w:pPr>
        <w:ind w:left="416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77E64484">
      <w:start w:val="1"/>
      <w:numFmt w:val="bullet"/>
      <w:lvlText w:val="·"/>
      <w:lvlJc w:val="left"/>
      <w:pPr>
        <w:ind w:left="4887" w:hanging="20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1284234">
      <w:start w:val="1"/>
      <w:numFmt w:val="bullet"/>
      <w:lvlText w:val="o"/>
      <w:lvlJc w:val="left"/>
      <w:pPr>
        <w:ind w:left="56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532E89E4">
      <w:start w:val="1"/>
      <w:numFmt w:val="bullet"/>
      <w:lvlText w:val="▪"/>
      <w:lvlJc w:val="left"/>
      <w:pPr>
        <w:ind w:left="632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 w15:restartNumberingAfterBreak="0">
    <w:nsid w:val="254A4722"/>
    <w:multiLevelType w:val="multilevel"/>
    <w:tmpl w:val="586EDA3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A5517DD"/>
    <w:multiLevelType w:val="hybridMultilevel"/>
    <w:tmpl w:val="3738B5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502A2660"/>
    <w:multiLevelType w:val="hybridMultilevel"/>
    <w:tmpl w:val="E1E6C2CA"/>
    <w:lvl w:ilvl="0" w:tplc="2F08C682">
      <w:start w:val="1"/>
      <w:numFmt w:val="bullet"/>
      <w:lvlText w:val="-"/>
      <w:lvlJc w:val="left"/>
      <w:pPr>
        <w:ind w:left="786" w:hanging="360"/>
      </w:pPr>
      <w:rPr>
        <w:rFonts w:ascii="Arial" w:eastAsia="Times New Roman" w:hAnsi="Arial" w:cs="Aria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start w:val="1"/>
      <w:numFmt w:val="bullet"/>
      <w:lvlText w:val=""/>
      <w:lvlJc w:val="left"/>
      <w:pPr>
        <w:ind w:left="2946" w:hanging="360"/>
      </w:pPr>
      <w:rPr>
        <w:rFonts w:ascii="Symbol" w:hAnsi="Symbol" w:hint="default"/>
      </w:rPr>
    </w:lvl>
    <w:lvl w:ilvl="4" w:tplc="041B0003">
      <w:start w:val="1"/>
      <w:numFmt w:val="bullet"/>
      <w:lvlText w:val="o"/>
      <w:lvlJc w:val="left"/>
      <w:pPr>
        <w:ind w:left="3666" w:hanging="360"/>
      </w:pPr>
      <w:rPr>
        <w:rFonts w:ascii="Courier New" w:hAnsi="Courier New" w:cs="Courier New" w:hint="default"/>
      </w:rPr>
    </w:lvl>
    <w:lvl w:ilvl="5" w:tplc="041B0005">
      <w:start w:val="1"/>
      <w:numFmt w:val="bullet"/>
      <w:lvlText w:val=""/>
      <w:lvlJc w:val="left"/>
      <w:pPr>
        <w:ind w:left="4386" w:hanging="360"/>
      </w:pPr>
      <w:rPr>
        <w:rFonts w:ascii="Wingdings" w:hAnsi="Wingdings" w:hint="default"/>
      </w:rPr>
    </w:lvl>
    <w:lvl w:ilvl="6" w:tplc="041B0001">
      <w:start w:val="1"/>
      <w:numFmt w:val="bullet"/>
      <w:lvlText w:val=""/>
      <w:lvlJc w:val="left"/>
      <w:pPr>
        <w:ind w:left="5106" w:hanging="360"/>
      </w:pPr>
      <w:rPr>
        <w:rFonts w:ascii="Symbol" w:hAnsi="Symbol" w:hint="default"/>
      </w:rPr>
    </w:lvl>
    <w:lvl w:ilvl="7" w:tplc="041B0003">
      <w:start w:val="1"/>
      <w:numFmt w:val="bullet"/>
      <w:lvlText w:val="o"/>
      <w:lvlJc w:val="left"/>
      <w:pPr>
        <w:ind w:left="5826" w:hanging="360"/>
      </w:pPr>
      <w:rPr>
        <w:rFonts w:ascii="Courier New" w:hAnsi="Courier New" w:cs="Courier New" w:hint="default"/>
      </w:rPr>
    </w:lvl>
    <w:lvl w:ilvl="8" w:tplc="041B0005">
      <w:start w:val="1"/>
      <w:numFmt w:val="bullet"/>
      <w:lvlText w:val=""/>
      <w:lvlJc w:val="left"/>
      <w:pPr>
        <w:ind w:left="6546" w:hanging="360"/>
      </w:pPr>
      <w:rPr>
        <w:rFonts w:ascii="Wingdings" w:hAnsi="Wingdings" w:hint="default"/>
      </w:rPr>
    </w:lvl>
  </w:abstractNum>
  <w:abstractNum w:abstractNumId="7" w15:restartNumberingAfterBreak="0">
    <w:nsid w:val="51600743"/>
    <w:multiLevelType w:val="hybridMultilevel"/>
    <w:tmpl w:val="4B2E7BFA"/>
    <w:lvl w:ilvl="0" w:tplc="CFA220E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3970771"/>
    <w:multiLevelType w:val="hybridMultilevel"/>
    <w:tmpl w:val="186AF4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61387C17"/>
    <w:multiLevelType w:val="multilevel"/>
    <w:tmpl w:val="35C8B69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61874645"/>
    <w:multiLevelType w:val="hybridMultilevel"/>
    <w:tmpl w:val="9A10F2F0"/>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63D76886"/>
    <w:multiLevelType w:val="hybridMultilevel"/>
    <w:tmpl w:val="69881F82"/>
    <w:lvl w:ilvl="0" w:tplc="048262DE">
      <w:start w:val="2"/>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6A2D079A"/>
    <w:multiLevelType w:val="hybridMultilevel"/>
    <w:tmpl w:val="7460140C"/>
    <w:numStyleLink w:val="Importovantl1"/>
  </w:abstractNum>
  <w:abstractNum w:abstractNumId="13" w15:restartNumberingAfterBreak="0">
    <w:nsid w:val="721A17A2"/>
    <w:multiLevelType w:val="hybridMultilevel"/>
    <w:tmpl w:val="18527A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3246ABC"/>
    <w:multiLevelType w:val="hybridMultilevel"/>
    <w:tmpl w:val="14AEA9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3DC1092"/>
    <w:multiLevelType w:val="hybridMultilevel"/>
    <w:tmpl w:val="15ACC9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3E45493"/>
    <w:multiLevelType w:val="hybridMultilevel"/>
    <w:tmpl w:val="BFEA0558"/>
    <w:lvl w:ilvl="0" w:tplc="DEDA04A6">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79AE64A2"/>
    <w:multiLevelType w:val="hybridMultilevel"/>
    <w:tmpl w:val="0C06C25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8" w15:restartNumberingAfterBreak="0">
    <w:nsid w:val="7D4876F0"/>
    <w:multiLevelType w:val="hybridMultilevel"/>
    <w:tmpl w:val="C98801B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8"/>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4"/>
  </w:num>
  <w:num w:numId="16">
    <w:abstractNumId w:val="9"/>
  </w:num>
  <w:num w:numId="17">
    <w:abstractNumId w:val="15"/>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AF4"/>
    <w:rsid w:val="00010AF4"/>
    <w:rsid w:val="00020AAE"/>
    <w:rsid w:val="00022E16"/>
    <w:rsid w:val="00036B2A"/>
    <w:rsid w:val="000515F3"/>
    <w:rsid w:val="000608F7"/>
    <w:rsid w:val="000A04D4"/>
    <w:rsid w:val="000A2FE0"/>
    <w:rsid w:val="000A4A5E"/>
    <w:rsid w:val="000A611E"/>
    <w:rsid w:val="000B0EAB"/>
    <w:rsid w:val="000B27DB"/>
    <w:rsid w:val="000C250D"/>
    <w:rsid w:val="000E7A4F"/>
    <w:rsid w:val="00104BBA"/>
    <w:rsid w:val="001072F0"/>
    <w:rsid w:val="0013453C"/>
    <w:rsid w:val="001523E2"/>
    <w:rsid w:val="00173BD6"/>
    <w:rsid w:val="0017691B"/>
    <w:rsid w:val="001877F9"/>
    <w:rsid w:val="001B2171"/>
    <w:rsid w:val="001B6D6A"/>
    <w:rsid w:val="001C2D33"/>
    <w:rsid w:val="001F07FA"/>
    <w:rsid w:val="001F6697"/>
    <w:rsid w:val="001F75D3"/>
    <w:rsid w:val="00200CC0"/>
    <w:rsid w:val="00221D3D"/>
    <w:rsid w:val="00237305"/>
    <w:rsid w:val="00254042"/>
    <w:rsid w:val="002857BD"/>
    <w:rsid w:val="002931C6"/>
    <w:rsid w:val="00296F09"/>
    <w:rsid w:val="002A4A69"/>
    <w:rsid w:val="002A6DB3"/>
    <w:rsid w:val="002C0866"/>
    <w:rsid w:val="002E2C01"/>
    <w:rsid w:val="002E5CA1"/>
    <w:rsid w:val="002F6E34"/>
    <w:rsid w:val="00317C2F"/>
    <w:rsid w:val="00321ECB"/>
    <w:rsid w:val="00362A12"/>
    <w:rsid w:val="00365179"/>
    <w:rsid w:val="00390E57"/>
    <w:rsid w:val="003A3F12"/>
    <w:rsid w:val="003B2C5B"/>
    <w:rsid w:val="003D72E7"/>
    <w:rsid w:val="003E3F9D"/>
    <w:rsid w:val="003E7364"/>
    <w:rsid w:val="003E7DBE"/>
    <w:rsid w:val="003F5172"/>
    <w:rsid w:val="0042747F"/>
    <w:rsid w:val="00454D19"/>
    <w:rsid w:val="00456564"/>
    <w:rsid w:val="00497141"/>
    <w:rsid w:val="004A0DBD"/>
    <w:rsid w:val="004B0BE3"/>
    <w:rsid w:val="004C2B9C"/>
    <w:rsid w:val="005211A8"/>
    <w:rsid w:val="005341F3"/>
    <w:rsid w:val="00536CF6"/>
    <w:rsid w:val="00555285"/>
    <w:rsid w:val="005851BE"/>
    <w:rsid w:val="005936DB"/>
    <w:rsid w:val="005D39BC"/>
    <w:rsid w:val="005E2672"/>
    <w:rsid w:val="00610EC9"/>
    <w:rsid w:val="00624FB4"/>
    <w:rsid w:val="0062758B"/>
    <w:rsid w:val="00627AA9"/>
    <w:rsid w:val="00633CFF"/>
    <w:rsid w:val="00640C26"/>
    <w:rsid w:val="00672014"/>
    <w:rsid w:val="00677C37"/>
    <w:rsid w:val="00691577"/>
    <w:rsid w:val="00693893"/>
    <w:rsid w:val="006A0F65"/>
    <w:rsid w:val="006A6CEE"/>
    <w:rsid w:val="006B097D"/>
    <w:rsid w:val="006B48F7"/>
    <w:rsid w:val="00704D7B"/>
    <w:rsid w:val="00715352"/>
    <w:rsid w:val="00727D1C"/>
    <w:rsid w:val="00734464"/>
    <w:rsid w:val="007501A1"/>
    <w:rsid w:val="00766868"/>
    <w:rsid w:val="007753E2"/>
    <w:rsid w:val="00781EBD"/>
    <w:rsid w:val="00792F64"/>
    <w:rsid w:val="007A6A18"/>
    <w:rsid w:val="007B2997"/>
    <w:rsid w:val="007C305E"/>
    <w:rsid w:val="007D1410"/>
    <w:rsid w:val="007E067E"/>
    <w:rsid w:val="007E798D"/>
    <w:rsid w:val="008123F5"/>
    <w:rsid w:val="008575AD"/>
    <w:rsid w:val="0086212C"/>
    <w:rsid w:val="00893259"/>
    <w:rsid w:val="008B2E09"/>
    <w:rsid w:val="008B3486"/>
    <w:rsid w:val="008B34CC"/>
    <w:rsid w:val="008C4DCD"/>
    <w:rsid w:val="008E46B0"/>
    <w:rsid w:val="00902717"/>
    <w:rsid w:val="00932CC8"/>
    <w:rsid w:val="00950760"/>
    <w:rsid w:val="00954A9B"/>
    <w:rsid w:val="0096182E"/>
    <w:rsid w:val="00965577"/>
    <w:rsid w:val="009753FA"/>
    <w:rsid w:val="009764CF"/>
    <w:rsid w:val="00984448"/>
    <w:rsid w:val="009B7203"/>
    <w:rsid w:val="009D5E87"/>
    <w:rsid w:val="00A179FA"/>
    <w:rsid w:val="00A202A9"/>
    <w:rsid w:val="00A3142F"/>
    <w:rsid w:val="00A34DB0"/>
    <w:rsid w:val="00A41BD2"/>
    <w:rsid w:val="00A44AEC"/>
    <w:rsid w:val="00A54C1B"/>
    <w:rsid w:val="00A6036A"/>
    <w:rsid w:val="00A76A38"/>
    <w:rsid w:val="00A77F22"/>
    <w:rsid w:val="00AA3240"/>
    <w:rsid w:val="00AA6998"/>
    <w:rsid w:val="00AA6BAE"/>
    <w:rsid w:val="00AA7751"/>
    <w:rsid w:val="00AD6ADA"/>
    <w:rsid w:val="00AE1CB4"/>
    <w:rsid w:val="00AE4E70"/>
    <w:rsid w:val="00AF40E1"/>
    <w:rsid w:val="00B26DC2"/>
    <w:rsid w:val="00B2720F"/>
    <w:rsid w:val="00B27ADF"/>
    <w:rsid w:val="00B93251"/>
    <w:rsid w:val="00BC5415"/>
    <w:rsid w:val="00BD3A61"/>
    <w:rsid w:val="00C23407"/>
    <w:rsid w:val="00C514F1"/>
    <w:rsid w:val="00C51774"/>
    <w:rsid w:val="00C538F3"/>
    <w:rsid w:val="00C65AEC"/>
    <w:rsid w:val="00C67A31"/>
    <w:rsid w:val="00C75DB3"/>
    <w:rsid w:val="00CD01DE"/>
    <w:rsid w:val="00CD1F3D"/>
    <w:rsid w:val="00CD5208"/>
    <w:rsid w:val="00CF0AA0"/>
    <w:rsid w:val="00D00EC9"/>
    <w:rsid w:val="00D22505"/>
    <w:rsid w:val="00D22989"/>
    <w:rsid w:val="00D40EC0"/>
    <w:rsid w:val="00D46724"/>
    <w:rsid w:val="00D92D50"/>
    <w:rsid w:val="00DA569F"/>
    <w:rsid w:val="00DE49A2"/>
    <w:rsid w:val="00DF37E6"/>
    <w:rsid w:val="00E01734"/>
    <w:rsid w:val="00E3113B"/>
    <w:rsid w:val="00E41DC0"/>
    <w:rsid w:val="00E601C9"/>
    <w:rsid w:val="00E630DA"/>
    <w:rsid w:val="00EA3073"/>
    <w:rsid w:val="00EC18B3"/>
    <w:rsid w:val="00EE3DAB"/>
    <w:rsid w:val="00EF3C03"/>
    <w:rsid w:val="00EF6637"/>
    <w:rsid w:val="00F02AC6"/>
    <w:rsid w:val="00F067B6"/>
    <w:rsid w:val="00F44194"/>
    <w:rsid w:val="00F56DB4"/>
    <w:rsid w:val="00F60CA7"/>
    <w:rsid w:val="00FB6A1D"/>
    <w:rsid w:val="00FC51FD"/>
    <w:rsid w:val="00FF5B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C924"/>
  <w15:chartTrackingRefBased/>
  <w15:docId w15:val="{955B645A-438D-48CF-94AF-380CD198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5D3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link w:val="OdsekzoznamuChar"/>
    <w:uiPriority w:val="34"/>
    <w:qFormat/>
    <w:rsid w:val="00D46724"/>
    <w:pPr>
      <w:spacing w:after="0" w:line="240" w:lineRule="auto"/>
      <w:ind w:left="720"/>
      <w:contextualSpacing/>
    </w:pPr>
    <w:rPr>
      <w:rFonts w:ascii="Times New Roman" w:eastAsia="Times New Roman" w:hAnsi="Times New Roman" w:cs="Times New Roman"/>
      <w:sz w:val="24"/>
      <w:szCs w:val="24"/>
      <w:lang w:eastAsia="sk-SK"/>
    </w:rPr>
  </w:style>
  <w:style w:type="numbering" w:customStyle="1" w:styleId="Importovantl1">
    <w:name w:val="Importovaný štýl 1"/>
    <w:rsid w:val="002F6E34"/>
    <w:pPr>
      <w:numPr>
        <w:numId w:val="5"/>
      </w:numPr>
    </w:pPr>
  </w:style>
  <w:style w:type="paragraph" w:styleId="Obyajntext">
    <w:name w:val="Plain Text"/>
    <w:basedOn w:val="Normlny"/>
    <w:link w:val="ObyajntextChar"/>
    <w:uiPriority w:val="99"/>
    <w:unhideWhenUsed/>
    <w:rsid w:val="001072F0"/>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1072F0"/>
    <w:rPr>
      <w:rFonts w:ascii="Calibri" w:hAnsi="Calibri"/>
      <w:szCs w:val="21"/>
    </w:rPr>
  </w:style>
  <w:style w:type="paragraph" w:styleId="Hlavika">
    <w:name w:val="header"/>
    <w:basedOn w:val="Normlny"/>
    <w:link w:val="HlavikaChar"/>
    <w:uiPriority w:val="99"/>
    <w:unhideWhenUsed/>
    <w:rsid w:val="00E601C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601C9"/>
  </w:style>
  <w:style w:type="paragraph" w:styleId="Pta">
    <w:name w:val="footer"/>
    <w:basedOn w:val="Normlny"/>
    <w:link w:val="PtaChar"/>
    <w:uiPriority w:val="99"/>
    <w:unhideWhenUsed/>
    <w:rsid w:val="00E601C9"/>
    <w:pPr>
      <w:tabs>
        <w:tab w:val="center" w:pos="4536"/>
        <w:tab w:val="right" w:pos="9072"/>
      </w:tabs>
      <w:spacing w:after="0" w:line="240" w:lineRule="auto"/>
    </w:pPr>
  </w:style>
  <w:style w:type="character" w:customStyle="1" w:styleId="PtaChar">
    <w:name w:val="Päta Char"/>
    <w:basedOn w:val="Predvolenpsmoodseku"/>
    <w:link w:val="Pta"/>
    <w:uiPriority w:val="99"/>
    <w:rsid w:val="00E601C9"/>
  </w:style>
  <w:style w:type="character" w:customStyle="1" w:styleId="OdsekzoznamuChar">
    <w:name w:val="Odsek zoznamu Char"/>
    <w:link w:val="Odsekzoznamu"/>
    <w:uiPriority w:val="34"/>
    <w:locked/>
    <w:rsid w:val="007B2997"/>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7B2997"/>
    <w:rPr>
      <w:color w:val="0563C1" w:themeColor="hyperlink"/>
      <w:u w:val="single"/>
    </w:rPr>
  </w:style>
  <w:style w:type="paragraph" w:styleId="Normlnywebov">
    <w:name w:val="Normal (Web)"/>
    <w:basedOn w:val="Normlny"/>
    <w:uiPriority w:val="99"/>
    <w:semiHidden/>
    <w:unhideWhenUsed/>
    <w:rsid w:val="000515F3"/>
    <w:pPr>
      <w:spacing w:after="0" w:line="240" w:lineRule="auto"/>
    </w:pPr>
    <w:rPr>
      <w:rFonts w:ascii="Times New Roman" w:hAnsi="Times New Roman" w:cs="Times New Roman"/>
      <w:sz w:val="24"/>
      <w:szCs w:val="24"/>
      <w:lang w:eastAsia="sk-SK"/>
    </w:rPr>
  </w:style>
  <w:style w:type="character" w:styleId="Odkaznakomentr">
    <w:name w:val="annotation reference"/>
    <w:basedOn w:val="Predvolenpsmoodseku"/>
    <w:semiHidden/>
    <w:rsid w:val="00AA3240"/>
    <w:rPr>
      <w:sz w:val="16"/>
      <w:szCs w:val="16"/>
    </w:rPr>
  </w:style>
  <w:style w:type="paragraph" w:styleId="Textkomentra">
    <w:name w:val="annotation text"/>
    <w:basedOn w:val="Normlny"/>
    <w:link w:val="TextkomentraChar"/>
    <w:semiHidden/>
    <w:rsid w:val="00AA3240"/>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semiHidden/>
    <w:rsid w:val="00AA324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AA324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A3240"/>
    <w:rPr>
      <w:rFonts w:ascii="Segoe UI" w:hAnsi="Segoe UI" w:cs="Segoe UI"/>
      <w:sz w:val="18"/>
      <w:szCs w:val="18"/>
    </w:rPr>
  </w:style>
  <w:style w:type="paragraph" w:customStyle="1" w:styleId="para1">
    <w:name w:val="para 1"/>
    <w:basedOn w:val="Normlny"/>
    <w:rsid w:val="006B48F7"/>
    <w:pPr>
      <w:tabs>
        <w:tab w:val="left" w:pos="425"/>
        <w:tab w:val="left" w:pos="851"/>
      </w:tabs>
      <w:spacing w:before="120" w:after="0" w:line="280" w:lineRule="exact"/>
      <w:ind w:left="822" w:hanging="822"/>
      <w:jc w:val="both"/>
    </w:pPr>
    <w:rPr>
      <w:rFonts w:ascii="Arial" w:eastAsia="Times New Roman" w:hAnsi="Arial" w:cs="Times New Roman"/>
      <w:szCs w:val="20"/>
      <w:lang w:eastAsia="sk-SK"/>
    </w:rPr>
  </w:style>
  <w:style w:type="paragraph" w:customStyle="1" w:styleId="Styl">
    <w:name w:val="Styl"/>
    <w:link w:val="StylChar2"/>
    <w:rsid w:val="006B48F7"/>
    <w:pPr>
      <w:tabs>
        <w:tab w:val="left" w:pos="709"/>
      </w:tabs>
      <w:spacing w:before="120" w:after="0" w:line="240" w:lineRule="auto"/>
      <w:jc w:val="both"/>
    </w:pPr>
    <w:rPr>
      <w:rFonts w:ascii="Arial" w:eastAsia="Times New Roman" w:hAnsi="Arial" w:cs="Arial"/>
      <w:sz w:val="20"/>
      <w:szCs w:val="20"/>
      <w:lang w:eastAsia="sk-SK"/>
    </w:rPr>
  </w:style>
  <w:style w:type="character" w:customStyle="1" w:styleId="StylChar2">
    <w:name w:val="Styl Char2"/>
    <w:basedOn w:val="Predvolenpsmoodseku"/>
    <w:link w:val="Styl"/>
    <w:rsid w:val="006B48F7"/>
    <w:rPr>
      <w:rFonts w:ascii="Arial" w:eastAsia="Times New Roman" w:hAnsi="Arial" w:cs="Arial"/>
      <w:sz w:val="20"/>
      <w:szCs w:val="20"/>
      <w:lang w:eastAsia="sk-SK"/>
    </w:rPr>
  </w:style>
  <w:style w:type="paragraph" w:customStyle="1" w:styleId="Default">
    <w:name w:val="Default"/>
    <w:rsid w:val="006B48F7"/>
    <w:pPr>
      <w:autoSpaceDE w:val="0"/>
      <w:autoSpaceDN w:val="0"/>
      <w:adjustRightInd w:val="0"/>
      <w:spacing w:after="0" w:line="240" w:lineRule="auto"/>
    </w:pPr>
    <w:rPr>
      <w:rFonts w:ascii="Liberation Sans" w:eastAsia="Calibri" w:hAnsi="Liberation Sans" w:cs="Liberation Sans"/>
      <w:color w:val="000000"/>
      <w:sz w:val="24"/>
      <w:szCs w:val="24"/>
    </w:rPr>
  </w:style>
  <w:style w:type="paragraph" w:customStyle="1" w:styleId="gmail-m1794213582363222814msolistparagraph">
    <w:name w:val="gmail-m_1794213582363222814msolistparagraph"/>
    <w:basedOn w:val="Normlny"/>
    <w:rsid w:val="00E630DA"/>
    <w:pPr>
      <w:spacing w:before="100" w:beforeAutospacing="1" w:after="100" w:afterAutospacing="1" w:line="240" w:lineRule="auto"/>
    </w:pPr>
    <w:rPr>
      <w:rFonts w:ascii="Calibri" w:hAnsi="Calibri" w:cs="Calibri"/>
      <w:lang w:eastAsia="sk-SK"/>
    </w:rPr>
  </w:style>
  <w:style w:type="paragraph" w:styleId="Predmetkomentra">
    <w:name w:val="annotation subject"/>
    <w:basedOn w:val="Textkomentra"/>
    <w:next w:val="Textkomentra"/>
    <w:link w:val="PredmetkomentraChar"/>
    <w:uiPriority w:val="99"/>
    <w:semiHidden/>
    <w:unhideWhenUsed/>
    <w:rsid w:val="00555285"/>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555285"/>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18925">
      <w:bodyDiv w:val="1"/>
      <w:marLeft w:val="0"/>
      <w:marRight w:val="0"/>
      <w:marTop w:val="0"/>
      <w:marBottom w:val="0"/>
      <w:divBdr>
        <w:top w:val="none" w:sz="0" w:space="0" w:color="auto"/>
        <w:left w:val="none" w:sz="0" w:space="0" w:color="auto"/>
        <w:bottom w:val="none" w:sz="0" w:space="0" w:color="auto"/>
        <w:right w:val="none" w:sz="0" w:space="0" w:color="auto"/>
      </w:divBdr>
    </w:div>
    <w:div w:id="235097556">
      <w:bodyDiv w:val="1"/>
      <w:marLeft w:val="0"/>
      <w:marRight w:val="0"/>
      <w:marTop w:val="0"/>
      <w:marBottom w:val="0"/>
      <w:divBdr>
        <w:top w:val="none" w:sz="0" w:space="0" w:color="auto"/>
        <w:left w:val="none" w:sz="0" w:space="0" w:color="auto"/>
        <w:bottom w:val="none" w:sz="0" w:space="0" w:color="auto"/>
        <w:right w:val="none" w:sz="0" w:space="0" w:color="auto"/>
      </w:divBdr>
    </w:div>
    <w:div w:id="263222798">
      <w:bodyDiv w:val="1"/>
      <w:marLeft w:val="0"/>
      <w:marRight w:val="0"/>
      <w:marTop w:val="0"/>
      <w:marBottom w:val="0"/>
      <w:divBdr>
        <w:top w:val="none" w:sz="0" w:space="0" w:color="auto"/>
        <w:left w:val="none" w:sz="0" w:space="0" w:color="auto"/>
        <w:bottom w:val="none" w:sz="0" w:space="0" w:color="auto"/>
        <w:right w:val="none" w:sz="0" w:space="0" w:color="auto"/>
      </w:divBdr>
    </w:div>
    <w:div w:id="272594206">
      <w:bodyDiv w:val="1"/>
      <w:marLeft w:val="0"/>
      <w:marRight w:val="0"/>
      <w:marTop w:val="0"/>
      <w:marBottom w:val="0"/>
      <w:divBdr>
        <w:top w:val="none" w:sz="0" w:space="0" w:color="auto"/>
        <w:left w:val="none" w:sz="0" w:space="0" w:color="auto"/>
        <w:bottom w:val="none" w:sz="0" w:space="0" w:color="auto"/>
        <w:right w:val="none" w:sz="0" w:space="0" w:color="auto"/>
      </w:divBdr>
    </w:div>
    <w:div w:id="355276380">
      <w:bodyDiv w:val="1"/>
      <w:marLeft w:val="0"/>
      <w:marRight w:val="0"/>
      <w:marTop w:val="0"/>
      <w:marBottom w:val="0"/>
      <w:divBdr>
        <w:top w:val="none" w:sz="0" w:space="0" w:color="auto"/>
        <w:left w:val="none" w:sz="0" w:space="0" w:color="auto"/>
        <w:bottom w:val="none" w:sz="0" w:space="0" w:color="auto"/>
        <w:right w:val="none" w:sz="0" w:space="0" w:color="auto"/>
      </w:divBdr>
    </w:div>
    <w:div w:id="387802493">
      <w:bodyDiv w:val="1"/>
      <w:marLeft w:val="0"/>
      <w:marRight w:val="0"/>
      <w:marTop w:val="0"/>
      <w:marBottom w:val="0"/>
      <w:divBdr>
        <w:top w:val="none" w:sz="0" w:space="0" w:color="auto"/>
        <w:left w:val="none" w:sz="0" w:space="0" w:color="auto"/>
        <w:bottom w:val="none" w:sz="0" w:space="0" w:color="auto"/>
        <w:right w:val="none" w:sz="0" w:space="0" w:color="auto"/>
      </w:divBdr>
    </w:div>
    <w:div w:id="409549510">
      <w:bodyDiv w:val="1"/>
      <w:marLeft w:val="0"/>
      <w:marRight w:val="0"/>
      <w:marTop w:val="0"/>
      <w:marBottom w:val="0"/>
      <w:divBdr>
        <w:top w:val="none" w:sz="0" w:space="0" w:color="auto"/>
        <w:left w:val="none" w:sz="0" w:space="0" w:color="auto"/>
        <w:bottom w:val="none" w:sz="0" w:space="0" w:color="auto"/>
        <w:right w:val="none" w:sz="0" w:space="0" w:color="auto"/>
      </w:divBdr>
    </w:div>
    <w:div w:id="432554050">
      <w:bodyDiv w:val="1"/>
      <w:marLeft w:val="0"/>
      <w:marRight w:val="0"/>
      <w:marTop w:val="0"/>
      <w:marBottom w:val="0"/>
      <w:divBdr>
        <w:top w:val="none" w:sz="0" w:space="0" w:color="auto"/>
        <w:left w:val="none" w:sz="0" w:space="0" w:color="auto"/>
        <w:bottom w:val="none" w:sz="0" w:space="0" w:color="auto"/>
        <w:right w:val="none" w:sz="0" w:space="0" w:color="auto"/>
      </w:divBdr>
    </w:div>
    <w:div w:id="437221563">
      <w:bodyDiv w:val="1"/>
      <w:marLeft w:val="0"/>
      <w:marRight w:val="0"/>
      <w:marTop w:val="0"/>
      <w:marBottom w:val="0"/>
      <w:divBdr>
        <w:top w:val="none" w:sz="0" w:space="0" w:color="auto"/>
        <w:left w:val="none" w:sz="0" w:space="0" w:color="auto"/>
        <w:bottom w:val="none" w:sz="0" w:space="0" w:color="auto"/>
        <w:right w:val="none" w:sz="0" w:space="0" w:color="auto"/>
      </w:divBdr>
    </w:div>
    <w:div w:id="450133808">
      <w:bodyDiv w:val="1"/>
      <w:marLeft w:val="0"/>
      <w:marRight w:val="0"/>
      <w:marTop w:val="0"/>
      <w:marBottom w:val="0"/>
      <w:divBdr>
        <w:top w:val="none" w:sz="0" w:space="0" w:color="auto"/>
        <w:left w:val="none" w:sz="0" w:space="0" w:color="auto"/>
        <w:bottom w:val="none" w:sz="0" w:space="0" w:color="auto"/>
        <w:right w:val="none" w:sz="0" w:space="0" w:color="auto"/>
      </w:divBdr>
    </w:div>
    <w:div w:id="489252659">
      <w:bodyDiv w:val="1"/>
      <w:marLeft w:val="0"/>
      <w:marRight w:val="0"/>
      <w:marTop w:val="0"/>
      <w:marBottom w:val="0"/>
      <w:divBdr>
        <w:top w:val="none" w:sz="0" w:space="0" w:color="auto"/>
        <w:left w:val="none" w:sz="0" w:space="0" w:color="auto"/>
        <w:bottom w:val="none" w:sz="0" w:space="0" w:color="auto"/>
        <w:right w:val="none" w:sz="0" w:space="0" w:color="auto"/>
      </w:divBdr>
    </w:div>
    <w:div w:id="536703150">
      <w:bodyDiv w:val="1"/>
      <w:marLeft w:val="0"/>
      <w:marRight w:val="0"/>
      <w:marTop w:val="0"/>
      <w:marBottom w:val="0"/>
      <w:divBdr>
        <w:top w:val="none" w:sz="0" w:space="0" w:color="auto"/>
        <w:left w:val="none" w:sz="0" w:space="0" w:color="auto"/>
        <w:bottom w:val="none" w:sz="0" w:space="0" w:color="auto"/>
        <w:right w:val="none" w:sz="0" w:space="0" w:color="auto"/>
      </w:divBdr>
    </w:div>
    <w:div w:id="563831109">
      <w:bodyDiv w:val="1"/>
      <w:marLeft w:val="0"/>
      <w:marRight w:val="0"/>
      <w:marTop w:val="0"/>
      <w:marBottom w:val="0"/>
      <w:divBdr>
        <w:top w:val="none" w:sz="0" w:space="0" w:color="auto"/>
        <w:left w:val="none" w:sz="0" w:space="0" w:color="auto"/>
        <w:bottom w:val="none" w:sz="0" w:space="0" w:color="auto"/>
        <w:right w:val="none" w:sz="0" w:space="0" w:color="auto"/>
      </w:divBdr>
    </w:div>
    <w:div w:id="621230170">
      <w:bodyDiv w:val="1"/>
      <w:marLeft w:val="0"/>
      <w:marRight w:val="0"/>
      <w:marTop w:val="0"/>
      <w:marBottom w:val="0"/>
      <w:divBdr>
        <w:top w:val="none" w:sz="0" w:space="0" w:color="auto"/>
        <w:left w:val="none" w:sz="0" w:space="0" w:color="auto"/>
        <w:bottom w:val="none" w:sz="0" w:space="0" w:color="auto"/>
        <w:right w:val="none" w:sz="0" w:space="0" w:color="auto"/>
      </w:divBdr>
    </w:div>
    <w:div w:id="628098398">
      <w:bodyDiv w:val="1"/>
      <w:marLeft w:val="0"/>
      <w:marRight w:val="0"/>
      <w:marTop w:val="0"/>
      <w:marBottom w:val="0"/>
      <w:divBdr>
        <w:top w:val="none" w:sz="0" w:space="0" w:color="auto"/>
        <w:left w:val="none" w:sz="0" w:space="0" w:color="auto"/>
        <w:bottom w:val="none" w:sz="0" w:space="0" w:color="auto"/>
        <w:right w:val="none" w:sz="0" w:space="0" w:color="auto"/>
      </w:divBdr>
    </w:div>
    <w:div w:id="648561918">
      <w:bodyDiv w:val="1"/>
      <w:marLeft w:val="0"/>
      <w:marRight w:val="0"/>
      <w:marTop w:val="0"/>
      <w:marBottom w:val="0"/>
      <w:divBdr>
        <w:top w:val="none" w:sz="0" w:space="0" w:color="auto"/>
        <w:left w:val="none" w:sz="0" w:space="0" w:color="auto"/>
        <w:bottom w:val="none" w:sz="0" w:space="0" w:color="auto"/>
        <w:right w:val="none" w:sz="0" w:space="0" w:color="auto"/>
      </w:divBdr>
    </w:div>
    <w:div w:id="726759044">
      <w:bodyDiv w:val="1"/>
      <w:marLeft w:val="0"/>
      <w:marRight w:val="0"/>
      <w:marTop w:val="0"/>
      <w:marBottom w:val="0"/>
      <w:divBdr>
        <w:top w:val="none" w:sz="0" w:space="0" w:color="auto"/>
        <w:left w:val="none" w:sz="0" w:space="0" w:color="auto"/>
        <w:bottom w:val="none" w:sz="0" w:space="0" w:color="auto"/>
        <w:right w:val="none" w:sz="0" w:space="0" w:color="auto"/>
      </w:divBdr>
    </w:div>
    <w:div w:id="807432533">
      <w:bodyDiv w:val="1"/>
      <w:marLeft w:val="0"/>
      <w:marRight w:val="0"/>
      <w:marTop w:val="0"/>
      <w:marBottom w:val="0"/>
      <w:divBdr>
        <w:top w:val="none" w:sz="0" w:space="0" w:color="auto"/>
        <w:left w:val="none" w:sz="0" w:space="0" w:color="auto"/>
        <w:bottom w:val="none" w:sz="0" w:space="0" w:color="auto"/>
        <w:right w:val="none" w:sz="0" w:space="0" w:color="auto"/>
      </w:divBdr>
    </w:div>
    <w:div w:id="830873182">
      <w:bodyDiv w:val="1"/>
      <w:marLeft w:val="0"/>
      <w:marRight w:val="0"/>
      <w:marTop w:val="0"/>
      <w:marBottom w:val="0"/>
      <w:divBdr>
        <w:top w:val="none" w:sz="0" w:space="0" w:color="auto"/>
        <w:left w:val="none" w:sz="0" w:space="0" w:color="auto"/>
        <w:bottom w:val="none" w:sz="0" w:space="0" w:color="auto"/>
        <w:right w:val="none" w:sz="0" w:space="0" w:color="auto"/>
      </w:divBdr>
    </w:div>
    <w:div w:id="855927719">
      <w:bodyDiv w:val="1"/>
      <w:marLeft w:val="0"/>
      <w:marRight w:val="0"/>
      <w:marTop w:val="0"/>
      <w:marBottom w:val="0"/>
      <w:divBdr>
        <w:top w:val="none" w:sz="0" w:space="0" w:color="auto"/>
        <w:left w:val="none" w:sz="0" w:space="0" w:color="auto"/>
        <w:bottom w:val="none" w:sz="0" w:space="0" w:color="auto"/>
        <w:right w:val="none" w:sz="0" w:space="0" w:color="auto"/>
      </w:divBdr>
    </w:div>
    <w:div w:id="930506275">
      <w:bodyDiv w:val="1"/>
      <w:marLeft w:val="0"/>
      <w:marRight w:val="0"/>
      <w:marTop w:val="0"/>
      <w:marBottom w:val="0"/>
      <w:divBdr>
        <w:top w:val="none" w:sz="0" w:space="0" w:color="auto"/>
        <w:left w:val="none" w:sz="0" w:space="0" w:color="auto"/>
        <w:bottom w:val="none" w:sz="0" w:space="0" w:color="auto"/>
        <w:right w:val="none" w:sz="0" w:space="0" w:color="auto"/>
      </w:divBdr>
    </w:div>
    <w:div w:id="948589204">
      <w:bodyDiv w:val="1"/>
      <w:marLeft w:val="0"/>
      <w:marRight w:val="0"/>
      <w:marTop w:val="0"/>
      <w:marBottom w:val="0"/>
      <w:divBdr>
        <w:top w:val="none" w:sz="0" w:space="0" w:color="auto"/>
        <w:left w:val="none" w:sz="0" w:space="0" w:color="auto"/>
        <w:bottom w:val="none" w:sz="0" w:space="0" w:color="auto"/>
        <w:right w:val="none" w:sz="0" w:space="0" w:color="auto"/>
      </w:divBdr>
    </w:div>
    <w:div w:id="961038211">
      <w:bodyDiv w:val="1"/>
      <w:marLeft w:val="0"/>
      <w:marRight w:val="0"/>
      <w:marTop w:val="0"/>
      <w:marBottom w:val="0"/>
      <w:divBdr>
        <w:top w:val="none" w:sz="0" w:space="0" w:color="auto"/>
        <w:left w:val="none" w:sz="0" w:space="0" w:color="auto"/>
        <w:bottom w:val="none" w:sz="0" w:space="0" w:color="auto"/>
        <w:right w:val="none" w:sz="0" w:space="0" w:color="auto"/>
      </w:divBdr>
    </w:div>
    <w:div w:id="964232079">
      <w:bodyDiv w:val="1"/>
      <w:marLeft w:val="0"/>
      <w:marRight w:val="0"/>
      <w:marTop w:val="0"/>
      <w:marBottom w:val="0"/>
      <w:divBdr>
        <w:top w:val="none" w:sz="0" w:space="0" w:color="auto"/>
        <w:left w:val="none" w:sz="0" w:space="0" w:color="auto"/>
        <w:bottom w:val="none" w:sz="0" w:space="0" w:color="auto"/>
        <w:right w:val="none" w:sz="0" w:space="0" w:color="auto"/>
      </w:divBdr>
    </w:div>
    <w:div w:id="1114786884">
      <w:bodyDiv w:val="1"/>
      <w:marLeft w:val="0"/>
      <w:marRight w:val="0"/>
      <w:marTop w:val="0"/>
      <w:marBottom w:val="0"/>
      <w:divBdr>
        <w:top w:val="none" w:sz="0" w:space="0" w:color="auto"/>
        <w:left w:val="none" w:sz="0" w:space="0" w:color="auto"/>
        <w:bottom w:val="none" w:sz="0" w:space="0" w:color="auto"/>
        <w:right w:val="none" w:sz="0" w:space="0" w:color="auto"/>
      </w:divBdr>
    </w:div>
    <w:div w:id="1126123847">
      <w:bodyDiv w:val="1"/>
      <w:marLeft w:val="0"/>
      <w:marRight w:val="0"/>
      <w:marTop w:val="0"/>
      <w:marBottom w:val="0"/>
      <w:divBdr>
        <w:top w:val="none" w:sz="0" w:space="0" w:color="auto"/>
        <w:left w:val="none" w:sz="0" w:space="0" w:color="auto"/>
        <w:bottom w:val="none" w:sz="0" w:space="0" w:color="auto"/>
        <w:right w:val="none" w:sz="0" w:space="0" w:color="auto"/>
      </w:divBdr>
    </w:div>
    <w:div w:id="1144810237">
      <w:bodyDiv w:val="1"/>
      <w:marLeft w:val="0"/>
      <w:marRight w:val="0"/>
      <w:marTop w:val="0"/>
      <w:marBottom w:val="0"/>
      <w:divBdr>
        <w:top w:val="none" w:sz="0" w:space="0" w:color="auto"/>
        <w:left w:val="none" w:sz="0" w:space="0" w:color="auto"/>
        <w:bottom w:val="none" w:sz="0" w:space="0" w:color="auto"/>
        <w:right w:val="none" w:sz="0" w:space="0" w:color="auto"/>
      </w:divBdr>
    </w:div>
    <w:div w:id="1176194919">
      <w:bodyDiv w:val="1"/>
      <w:marLeft w:val="0"/>
      <w:marRight w:val="0"/>
      <w:marTop w:val="0"/>
      <w:marBottom w:val="0"/>
      <w:divBdr>
        <w:top w:val="none" w:sz="0" w:space="0" w:color="auto"/>
        <w:left w:val="none" w:sz="0" w:space="0" w:color="auto"/>
        <w:bottom w:val="none" w:sz="0" w:space="0" w:color="auto"/>
        <w:right w:val="none" w:sz="0" w:space="0" w:color="auto"/>
      </w:divBdr>
    </w:div>
    <w:div w:id="1245917742">
      <w:bodyDiv w:val="1"/>
      <w:marLeft w:val="0"/>
      <w:marRight w:val="0"/>
      <w:marTop w:val="0"/>
      <w:marBottom w:val="0"/>
      <w:divBdr>
        <w:top w:val="none" w:sz="0" w:space="0" w:color="auto"/>
        <w:left w:val="none" w:sz="0" w:space="0" w:color="auto"/>
        <w:bottom w:val="none" w:sz="0" w:space="0" w:color="auto"/>
        <w:right w:val="none" w:sz="0" w:space="0" w:color="auto"/>
      </w:divBdr>
    </w:div>
    <w:div w:id="1304891764">
      <w:bodyDiv w:val="1"/>
      <w:marLeft w:val="0"/>
      <w:marRight w:val="0"/>
      <w:marTop w:val="0"/>
      <w:marBottom w:val="0"/>
      <w:divBdr>
        <w:top w:val="none" w:sz="0" w:space="0" w:color="auto"/>
        <w:left w:val="none" w:sz="0" w:space="0" w:color="auto"/>
        <w:bottom w:val="none" w:sz="0" w:space="0" w:color="auto"/>
        <w:right w:val="none" w:sz="0" w:space="0" w:color="auto"/>
      </w:divBdr>
    </w:div>
    <w:div w:id="1355040558">
      <w:bodyDiv w:val="1"/>
      <w:marLeft w:val="0"/>
      <w:marRight w:val="0"/>
      <w:marTop w:val="0"/>
      <w:marBottom w:val="0"/>
      <w:divBdr>
        <w:top w:val="none" w:sz="0" w:space="0" w:color="auto"/>
        <w:left w:val="none" w:sz="0" w:space="0" w:color="auto"/>
        <w:bottom w:val="none" w:sz="0" w:space="0" w:color="auto"/>
        <w:right w:val="none" w:sz="0" w:space="0" w:color="auto"/>
      </w:divBdr>
    </w:div>
    <w:div w:id="1355688232">
      <w:bodyDiv w:val="1"/>
      <w:marLeft w:val="0"/>
      <w:marRight w:val="0"/>
      <w:marTop w:val="0"/>
      <w:marBottom w:val="0"/>
      <w:divBdr>
        <w:top w:val="none" w:sz="0" w:space="0" w:color="auto"/>
        <w:left w:val="none" w:sz="0" w:space="0" w:color="auto"/>
        <w:bottom w:val="none" w:sz="0" w:space="0" w:color="auto"/>
        <w:right w:val="none" w:sz="0" w:space="0" w:color="auto"/>
      </w:divBdr>
    </w:div>
    <w:div w:id="1470973492">
      <w:bodyDiv w:val="1"/>
      <w:marLeft w:val="0"/>
      <w:marRight w:val="0"/>
      <w:marTop w:val="0"/>
      <w:marBottom w:val="0"/>
      <w:divBdr>
        <w:top w:val="none" w:sz="0" w:space="0" w:color="auto"/>
        <w:left w:val="none" w:sz="0" w:space="0" w:color="auto"/>
        <w:bottom w:val="none" w:sz="0" w:space="0" w:color="auto"/>
        <w:right w:val="none" w:sz="0" w:space="0" w:color="auto"/>
      </w:divBdr>
    </w:div>
    <w:div w:id="1504851951">
      <w:bodyDiv w:val="1"/>
      <w:marLeft w:val="0"/>
      <w:marRight w:val="0"/>
      <w:marTop w:val="0"/>
      <w:marBottom w:val="0"/>
      <w:divBdr>
        <w:top w:val="none" w:sz="0" w:space="0" w:color="auto"/>
        <w:left w:val="none" w:sz="0" w:space="0" w:color="auto"/>
        <w:bottom w:val="none" w:sz="0" w:space="0" w:color="auto"/>
        <w:right w:val="none" w:sz="0" w:space="0" w:color="auto"/>
      </w:divBdr>
    </w:div>
    <w:div w:id="1506552063">
      <w:bodyDiv w:val="1"/>
      <w:marLeft w:val="0"/>
      <w:marRight w:val="0"/>
      <w:marTop w:val="0"/>
      <w:marBottom w:val="0"/>
      <w:divBdr>
        <w:top w:val="none" w:sz="0" w:space="0" w:color="auto"/>
        <w:left w:val="none" w:sz="0" w:space="0" w:color="auto"/>
        <w:bottom w:val="none" w:sz="0" w:space="0" w:color="auto"/>
        <w:right w:val="none" w:sz="0" w:space="0" w:color="auto"/>
      </w:divBdr>
    </w:div>
    <w:div w:id="1511069370">
      <w:bodyDiv w:val="1"/>
      <w:marLeft w:val="0"/>
      <w:marRight w:val="0"/>
      <w:marTop w:val="0"/>
      <w:marBottom w:val="0"/>
      <w:divBdr>
        <w:top w:val="none" w:sz="0" w:space="0" w:color="auto"/>
        <w:left w:val="none" w:sz="0" w:space="0" w:color="auto"/>
        <w:bottom w:val="none" w:sz="0" w:space="0" w:color="auto"/>
        <w:right w:val="none" w:sz="0" w:space="0" w:color="auto"/>
      </w:divBdr>
    </w:div>
    <w:div w:id="1567761926">
      <w:bodyDiv w:val="1"/>
      <w:marLeft w:val="0"/>
      <w:marRight w:val="0"/>
      <w:marTop w:val="0"/>
      <w:marBottom w:val="0"/>
      <w:divBdr>
        <w:top w:val="none" w:sz="0" w:space="0" w:color="auto"/>
        <w:left w:val="none" w:sz="0" w:space="0" w:color="auto"/>
        <w:bottom w:val="none" w:sz="0" w:space="0" w:color="auto"/>
        <w:right w:val="none" w:sz="0" w:space="0" w:color="auto"/>
      </w:divBdr>
    </w:div>
    <w:div w:id="1588727804">
      <w:bodyDiv w:val="1"/>
      <w:marLeft w:val="0"/>
      <w:marRight w:val="0"/>
      <w:marTop w:val="0"/>
      <w:marBottom w:val="0"/>
      <w:divBdr>
        <w:top w:val="none" w:sz="0" w:space="0" w:color="auto"/>
        <w:left w:val="none" w:sz="0" w:space="0" w:color="auto"/>
        <w:bottom w:val="none" w:sz="0" w:space="0" w:color="auto"/>
        <w:right w:val="none" w:sz="0" w:space="0" w:color="auto"/>
      </w:divBdr>
    </w:div>
    <w:div w:id="1622296689">
      <w:bodyDiv w:val="1"/>
      <w:marLeft w:val="0"/>
      <w:marRight w:val="0"/>
      <w:marTop w:val="0"/>
      <w:marBottom w:val="0"/>
      <w:divBdr>
        <w:top w:val="none" w:sz="0" w:space="0" w:color="auto"/>
        <w:left w:val="none" w:sz="0" w:space="0" w:color="auto"/>
        <w:bottom w:val="none" w:sz="0" w:space="0" w:color="auto"/>
        <w:right w:val="none" w:sz="0" w:space="0" w:color="auto"/>
      </w:divBdr>
    </w:div>
    <w:div w:id="1690837042">
      <w:bodyDiv w:val="1"/>
      <w:marLeft w:val="0"/>
      <w:marRight w:val="0"/>
      <w:marTop w:val="0"/>
      <w:marBottom w:val="0"/>
      <w:divBdr>
        <w:top w:val="none" w:sz="0" w:space="0" w:color="auto"/>
        <w:left w:val="none" w:sz="0" w:space="0" w:color="auto"/>
        <w:bottom w:val="none" w:sz="0" w:space="0" w:color="auto"/>
        <w:right w:val="none" w:sz="0" w:space="0" w:color="auto"/>
      </w:divBdr>
    </w:div>
    <w:div w:id="1710106523">
      <w:bodyDiv w:val="1"/>
      <w:marLeft w:val="0"/>
      <w:marRight w:val="0"/>
      <w:marTop w:val="0"/>
      <w:marBottom w:val="0"/>
      <w:divBdr>
        <w:top w:val="none" w:sz="0" w:space="0" w:color="auto"/>
        <w:left w:val="none" w:sz="0" w:space="0" w:color="auto"/>
        <w:bottom w:val="none" w:sz="0" w:space="0" w:color="auto"/>
        <w:right w:val="none" w:sz="0" w:space="0" w:color="auto"/>
      </w:divBdr>
    </w:div>
    <w:div w:id="1783839393">
      <w:bodyDiv w:val="1"/>
      <w:marLeft w:val="0"/>
      <w:marRight w:val="0"/>
      <w:marTop w:val="0"/>
      <w:marBottom w:val="0"/>
      <w:divBdr>
        <w:top w:val="none" w:sz="0" w:space="0" w:color="auto"/>
        <w:left w:val="none" w:sz="0" w:space="0" w:color="auto"/>
        <w:bottom w:val="none" w:sz="0" w:space="0" w:color="auto"/>
        <w:right w:val="none" w:sz="0" w:space="0" w:color="auto"/>
      </w:divBdr>
    </w:div>
    <w:div w:id="1792239138">
      <w:bodyDiv w:val="1"/>
      <w:marLeft w:val="0"/>
      <w:marRight w:val="0"/>
      <w:marTop w:val="0"/>
      <w:marBottom w:val="0"/>
      <w:divBdr>
        <w:top w:val="none" w:sz="0" w:space="0" w:color="auto"/>
        <w:left w:val="none" w:sz="0" w:space="0" w:color="auto"/>
        <w:bottom w:val="none" w:sz="0" w:space="0" w:color="auto"/>
        <w:right w:val="none" w:sz="0" w:space="0" w:color="auto"/>
      </w:divBdr>
    </w:div>
    <w:div w:id="1871070166">
      <w:bodyDiv w:val="1"/>
      <w:marLeft w:val="0"/>
      <w:marRight w:val="0"/>
      <w:marTop w:val="0"/>
      <w:marBottom w:val="0"/>
      <w:divBdr>
        <w:top w:val="none" w:sz="0" w:space="0" w:color="auto"/>
        <w:left w:val="none" w:sz="0" w:space="0" w:color="auto"/>
        <w:bottom w:val="none" w:sz="0" w:space="0" w:color="auto"/>
        <w:right w:val="none" w:sz="0" w:space="0" w:color="auto"/>
      </w:divBdr>
    </w:div>
    <w:div w:id="1912228272">
      <w:bodyDiv w:val="1"/>
      <w:marLeft w:val="0"/>
      <w:marRight w:val="0"/>
      <w:marTop w:val="0"/>
      <w:marBottom w:val="0"/>
      <w:divBdr>
        <w:top w:val="none" w:sz="0" w:space="0" w:color="auto"/>
        <w:left w:val="none" w:sz="0" w:space="0" w:color="auto"/>
        <w:bottom w:val="none" w:sz="0" w:space="0" w:color="auto"/>
        <w:right w:val="none" w:sz="0" w:space="0" w:color="auto"/>
      </w:divBdr>
    </w:div>
    <w:div w:id="1936161947">
      <w:bodyDiv w:val="1"/>
      <w:marLeft w:val="0"/>
      <w:marRight w:val="0"/>
      <w:marTop w:val="0"/>
      <w:marBottom w:val="0"/>
      <w:divBdr>
        <w:top w:val="none" w:sz="0" w:space="0" w:color="auto"/>
        <w:left w:val="none" w:sz="0" w:space="0" w:color="auto"/>
        <w:bottom w:val="none" w:sz="0" w:space="0" w:color="auto"/>
        <w:right w:val="none" w:sz="0" w:space="0" w:color="auto"/>
      </w:divBdr>
    </w:div>
    <w:div w:id="2010475743">
      <w:bodyDiv w:val="1"/>
      <w:marLeft w:val="0"/>
      <w:marRight w:val="0"/>
      <w:marTop w:val="0"/>
      <w:marBottom w:val="0"/>
      <w:divBdr>
        <w:top w:val="none" w:sz="0" w:space="0" w:color="auto"/>
        <w:left w:val="none" w:sz="0" w:space="0" w:color="auto"/>
        <w:bottom w:val="none" w:sz="0" w:space="0" w:color="auto"/>
        <w:right w:val="none" w:sz="0" w:space="0" w:color="auto"/>
      </w:divBdr>
    </w:div>
    <w:div w:id="2029595362">
      <w:bodyDiv w:val="1"/>
      <w:marLeft w:val="0"/>
      <w:marRight w:val="0"/>
      <w:marTop w:val="0"/>
      <w:marBottom w:val="0"/>
      <w:divBdr>
        <w:top w:val="none" w:sz="0" w:space="0" w:color="auto"/>
        <w:left w:val="none" w:sz="0" w:space="0" w:color="auto"/>
        <w:bottom w:val="none" w:sz="0" w:space="0" w:color="auto"/>
        <w:right w:val="none" w:sz="0" w:space="0" w:color="auto"/>
      </w:divBdr>
    </w:div>
    <w:div w:id="2037122995">
      <w:bodyDiv w:val="1"/>
      <w:marLeft w:val="0"/>
      <w:marRight w:val="0"/>
      <w:marTop w:val="0"/>
      <w:marBottom w:val="0"/>
      <w:divBdr>
        <w:top w:val="none" w:sz="0" w:space="0" w:color="auto"/>
        <w:left w:val="none" w:sz="0" w:space="0" w:color="auto"/>
        <w:bottom w:val="none" w:sz="0" w:space="0" w:color="auto"/>
        <w:right w:val="none" w:sz="0" w:space="0" w:color="auto"/>
      </w:divBdr>
    </w:div>
    <w:div w:id="2066220970">
      <w:bodyDiv w:val="1"/>
      <w:marLeft w:val="0"/>
      <w:marRight w:val="0"/>
      <w:marTop w:val="0"/>
      <w:marBottom w:val="0"/>
      <w:divBdr>
        <w:top w:val="none" w:sz="0" w:space="0" w:color="auto"/>
        <w:left w:val="none" w:sz="0" w:space="0" w:color="auto"/>
        <w:bottom w:val="none" w:sz="0" w:space="0" w:color="auto"/>
        <w:right w:val="none" w:sz="0" w:space="0" w:color="auto"/>
      </w:divBdr>
    </w:div>
    <w:div w:id="210711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enviroportal.sk%2F&amp;data=04%7C01%7Cjana.homova%40eurovia.sk%7C3c7f3da405fe4c6ef21d08d8befeaf3c%7C04490cb5d061415280748fc96c47255c%7C0%7C0%7C637469348393626426%7CUnknown%7CTWFpbGZsb3d8eyJWIjoiMC4wLjAwMDAiLCJQIjoiV2luMzIiLCJBTiI6Ik1haWwiLCJXVCI6Mn0%3D%7C1000&amp;sdata=aCZZGWLMJeTCwgoKNFomBilPJgR0xKGDnIZGgiY3bsU%3D&amp;reserve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B3659-E057-4AC6-B5F3-C075FB677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13</Pages>
  <Words>4382</Words>
  <Characters>24980</Characters>
  <Application>Microsoft Office Word</Application>
  <DocSecurity>0</DocSecurity>
  <Lines>208</Lines>
  <Paragraphs>58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Sihelský Patrik</dc:creator>
  <cp:keywords/>
  <dc:description/>
  <cp:lastModifiedBy>Rajská Radoslava</cp:lastModifiedBy>
  <cp:revision>132</cp:revision>
  <dcterms:created xsi:type="dcterms:W3CDTF">2020-12-02T08:52:00Z</dcterms:created>
  <dcterms:modified xsi:type="dcterms:W3CDTF">2021-01-28T15:32:00Z</dcterms:modified>
</cp:coreProperties>
</file>