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16302" w:type="dxa"/>
        <w:tblInd w:w="-1139" w:type="dxa"/>
        <w:tblLayout w:type="fixed"/>
        <w:tblLook w:val="04A0" w:firstRow="1" w:lastRow="0" w:firstColumn="1" w:lastColumn="0" w:noHBand="0" w:noVBand="1"/>
      </w:tblPr>
      <w:tblGrid>
        <w:gridCol w:w="971"/>
        <w:gridCol w:w="8810"/>
        <w:gridCol w:w="6521"/>
      </w:tblGrid>
      <w:tr w:rsidR="00497141" w:rsidRPr="00497141" w14:paraId="3B397447" w14:textId="77777777" w:rsidTr="00D945B4">
        <w:tc>
          <w:tcPr>
            <w:tcW w:w="971" w:type="dxa"/>
            <w:shd w:val="clear" w:color="auto" w:fill="D0CECE" w:themeFill="background2" w:themeFillShade="E6"/>
          </w:tcPr>
          <w:p w14:paraId="32A8BAE7" w14:textId="77777777" w:rsidR="00FC51FD" w:rsidRPr="00497141" w:rsidRDefault="00FC51FD">
            <w:r w:rsidRPr="00497141">
              <w:t>Č.otázky</w:t>
            </w:r>
          </w:p>
        </w:tc>
        <w:tc>
          <w:tcPr>
            <w:tcW w:w="8810" w:type="dxa"/>
            <w:shd w:val="clear" w:color="auto" w:fill="D0CECE" w:themeFill="background2" w:themeFillShade="E6"/>
          </w:tcPr>
          <w:p w14:paraId="246B2E53" w14:textId="77777777" w:rsidR="00FC51FD" w:rsidRPr="00497141" w:rsidRDefault="00FC51FD" w:rsidP="000A611E">
            <w:pPr>
              <w:jc w:val="both"/>
              <w:rPr>
                <w:rFonts w:ascii="Arial Narrow" w:hAnsi="Arial Narrow"/>
              </w:rPr>
            </w:pPr>
            <w:r w:rsidRPr="00497141">
              <w:rPr>
                <w:rFonts w:ascii="Arial Narrow" w:hAnsi="Arial Narrow"/>
              </w:rPr>
              <w:t>Text otázky</w:t>
            </w:r>
          </w:p>
        </w:tc>
        <w:tc>
          <w:tcPr>
            <w:tcW w:w="6521" w:type="dxa"/>
            <w:shd w:val="clear" w:color="auto" w:fill="D0CECE" w:themeFill="background2" w:themeFillShade="E6"/>
          </w:tcPr>
          <w:p w14:paraId="3EDCE491" w14:textId="77777777" w:rsidR="00FC51FD" w:rsidRPr="00497141" w:rsidRDefault="00FC51FD" w:rsidP="000A611E">
            <w:pPr>
              <w:jc w:val="both"/>
              <w:rPr>
                <w:rFonts w:ascii="Arial Narrow" w:hAnsi="Arial Narrow"/>
              </w:rPr>
            </w:pPr>
            <w:r w:rsidRPr="00497141">
              <w:rPr>
                <w:rFonts w:ascii="Arial Narrow" w:hAnsi="Arial Narrow"/>
              </w:rPr>
              <w:t>Odpoveď obstarávateľa</w:t>
            </w:r>
          </w:p>
        </w:tc>
      </w:tr>
      <w:tr w:rsidR="001572F8" w:rsidRPr="00497141" w14:paraId="1A30F777" w14:textId="77777777" w:rsidTr="00D945B4">
        <w:trPr>
          <w:trHeight w:val="995"/>
        </w:trPr>
        <w:tc>
          <w:tcPr>
            <w:tcW w:w="971" w:type="dxa"/>
            <w:shd w:val="clear" w:color="auto" w:fill="auto"/>
          </w:tcPr>
          <w:p w14:paraId="2B2250C5" w14:textId="020FCE14" w:rsidR="001572F8" w:rsidRPr="00497141" w:rsidRDefault="001572F8" w:rsidP="001572F8">
            <w:r>
              <w:t>197</w:t>
            </w:r>
          </w:p>
        </w:tc>
        <w:tc>
          <w:tcPr>
            <w:tcW w:w="8810" w:type="dxa"/>
            <w:shd w:val="clear" w:color="auto" w:fill="auto"/>
          </w:tcPr>
          <w:p w14:paraId="5E81631E" w14:textId="2098A10C" w:rsidR="001572F8" w:rsidRPr="00497141" w:rsidRDefault="001572F8" w:rsidP="001572F8">
            <w:pPr>
              <w:jc w:val="both"/>
              <w:rPr>
                <w:rFonts w:ascii="Arial Narrow" w:hAnsi="Arial Narrow"/>
              </w:rPr>
            </w:pPr>
            <w:r>
              <w:rPr>
                <w:rFonts w:ascii="Open Sans" w:hAnsi="Open Sans"/>
                <w:color w:val="333333"/>
                <w:sz w:val="20"/>
                <w:szCs w:val="20"/>
                <w:shd w:val="clear" w:color="auto" w:fill="FFFFFF"/>
              </w:rPr>
              <w:t>231 Most na prepojení ciest I/11 a MK v km 0,300 nad C I/11 a Kysucou</w:t>
            </w:r>
            <w:r>
              <w:rPr>
                <w:rFonts w:ascii="Open Sans" w:hAnsi="Open Sans"/>
                <w:color w:val="333333"/>
                <w:sz w:val="20"/>
                <w:szCs w:val="20"/>
              </w:rPr>
              <w:br/>
            </w:r>
            <w:r>
              <w:rPr>
                <w:rFonts w:ascii="Open Sans" w:hAnsi="Open Sans"/>
                <w:color w:val="333333"/>
                <w:sz w:val="20"/>
                <w:szCs w:val="20"/>
                <w:shd w:val="clear" w:color="auto" w:fill="FFFFFF"/>
              </w:rPr>
              <w:t>Podľa prílohy 7.7 bude obslužné schodisko realizované z dielcov z kamenných blokov. Je možné toto riešenie nahradiť blokmi z betónových blokov?</w:t>
            </w:r>
          </w:p>
        </w:tc>
        <w:tc>
          <w:tcPr>
            <w:tcW w:w="6521" w:type="dxa"/>
            <w:shd w:val="clear" w:color="auto" w:fill="auto"/>
          </w:tcPr>
          <w:p w14:paraId="1055EC80" w14:textId="4B5E92D0" w:rsidR="00A20DA9" w:rsidRDefault="00A20DA9" w:rsidP="00A20DA9">
            <w:pPr>
              <w:jc w:val="both"/>
              <w:rPr>
                <w:color w:val="000000" w:themeColor="text1"/>
                <w:sz w:val="20"/>
                <w:szCs w:val="20"/>
              </w:rPr>
            </w:pPr>
            <w:r>
              <w:rPr>
                <w:color w:val="000000" w:themeColor="text1"/>
                <w:sz w:val="20"/>
                <w:szCs w:val="20"/>
              </w:rPr>
              <w:t>Platia súťažné podklady a VV.</w:t>
            </w:r>
          </w:p>
          <w:p w14:paraId="24C44FAA" w14:textId="3F162DD9" w:rsidR="001572F8" w:rsidRPr="001572F8" w:rsidRDefault="00A20DA9" w:rsidP="00A20DA9">
            <w:pPr>
              <w:jc w:val="both"/>
              <w:rPr>
                <w:sz w:val="20"/>
                <w:szCs w:val="20"/>
              </w:rPr>
            </w:pPr>
            <w:r>
              <w:rPr>
                <w:color w:val="000000" w:themeColor="text1"/>
                <w:sz w:val="20"/>
                <w:szCs w:val="20"/>
              </w:rPr>
              <w:t xml:space="preserve"> </w:t>
            </w:r>
          </w:p>
        </w:tc>
      </w:tr>
      <w:tr w:rsidR="001572F8" w:rsidRPr="00497141" w14:paraId="4E0CCA30" w14:textId="77777777" w:rsidTr="00F41639">
        <w:trPr>
          <w:trHeight w:val="2399"/>
        </w:trPr>
        <w:tc>
          <w:tcPr>
            <w:tcW w:w="971" w:type="dxa"/>
            <w:shd w:val="clear" w:color="auto" w:fill="auto"/>
          </w:tcPr>
          <w:p w14:paraId="2458D224" w14:textId="25771736" w:rsidR="001572F8" w:rsidRDefault="001572F8" w:rsidP="001572F8">
            <w:r>
              <w:t>198</w:t>
            </w:r>
          </w:p>
        </w:tc>
        <w:tc>
          <w:tcPr>
            <w:tcW w:w="8810" w:type="dxa"/>
            <w:shd w:val="clear" w:color="auto" w:fill="auto"/>
          </w:tcPr>
          <w:p w14:paraId="7E8278A7" w14:textId="1992A49D" w:rsidR="001572F8" w:rsidRDefault="001572F8" w:rsidP="001572F8">
            <w:pPr>
              <w:jc w:val="both"/>
              <w:rPr>
                <w:rFonts w:ascii="Open Sans" w:hAnsi="Open Sans"/>
                <w:color w:val="333333"/>
                <w:sz w:val="20"/>
                <w:szCs w:val="20"/>
                <w:shd w:val="clear" w:color="auto" w:fill="FFFFFF"/>
              </w:rPr>
            </w:pPr>
            <w:r>
              <w:rPr>
                <w:rFonts w:ascii="Open Sans" w:hAnsi="Open Sans"/>
                <w:color w:val="333333"/>
                <w:sz w:val="20"/>
                <w:szCs w:val="20"/>
                <w:shd w:val="clear" w:color="auto" w:fill="FFFFFF"/>
              </w:rPr>
              <w:t>Žiadame verejného obstarávateľa v nadväznosti na otázku a odpoveď č. 161 o zatriedenie odpadu v zmysle Zákona o odpadoch č. 76/2015 Z.z..</w:t>
            </w:r>
          </w:p>
        </w:tc>
        <w:tc>
          <w:tcPr>
            <w:tcW w:w="6521" w:type="dxa"/>
            <w:shd w:val="clear" w:color="auto" w:fill="auto"/>
          </w:tcPr>
          <w:p w14:paraId="685521F5" w14:textId="6B79992D" w:rsidR="00A24955" w:rsidRPr="00A24955" w:rsidRDefault="0054195B" w:rsidP="00A24955">
            <w:pPr>
              <w:jc w:val="both"/>
              <w:rPr>
                <w:sz w:val="20"/>
                <w:szCs w:val="20"/>
              </w:rPr>
            </w:pPr>
            <w:r>
              <w:rPr>
                <w:sz w:val="20"/>
                <w:szCs w:val="20"/>
              </w:rPr>
              <w:t>Z</w:t>
            </w:r>
            <w:r w:rsidR="00A24955" w:rsidRPr="00A24955">
              <w:rPr>
                <w:sz w:val="20"/>
                <w:szCs w:val="20"/>
              </w:rPr>
              <w:t>atriedenie odpadu je podľa vyhlášky MŽP SR č. 365/2015 Z.z., ktorou sa ustanovuje Katalóg odpadov, pod kódom, názvom a kategóriou nasledovné:</w:t>
            </w:r>
          </w:p>
          <w:tbl>
            <w:tblPr>
              <w:tblOverlap w:val="never"/>
              <w:tblW w:w="6338" w:type="dxa"/>
              <w:tblInd w:w="10" w:type="dxa"/>
              <w:tblLayout w:type="fixed"/>
              <w:tblCellMar>
                <w:left w:w="10" w:type="dxa"/>
                <w:right w:w="10" w:type="dxa"/>
              </w:tblCellMar>
              <w:tblLook w:val="04A0" w:firstRow="1" w:lastRow="0" w:firstColumn="1" w:lastColumn="0" w:noHBand="0" w:noVBand="1"/>
            </w:tblPr>
            <w:tblGrid>
              <w:gridCol w:w="1153"/>
              <w:gridCol w:w="3969"/>
              <w:gridCol w:w="1216"/>
            </w:tblGrid>
            <w:tr w:rsidR="00A24955" w:rsidRPr="008850EC" w14:paraId="14CA4710" w14:textId="77777777" w:rsidTr="00DB7F9B">
              <w:trPr>
                <w:trHeight w:hRule="exact" w:val="580"/>
              </w:trPr>
              <w:tc>
                <w:tcPr>
                  <w:tcW w:w="1153" w:type="dxa"/>
                  <w:tcBorders>
                    <w:top w:val="single" w:sz="4" w:space="0" w:color="auto"/>
                    <w:left w:val="single" w:sz="4" w:space="0" w:color="auto"/>
                  </w:tcBorders>
                  <w:shd w:val="clear" w:color="auto" w:fill="FFFFFF"/>
                  <w:vAlign w:val="bottom"/>
                </w:tcPr>
                <w:p w14:paraId="3E968E0E" w14:textId="77777777" w:rsidR="00A24955" w:rsidRPr="00A24955" w:rsidRDefault="00A24955" w:rsidP="00A24955">
                  <w:pPr>
                    <w:pStyle w:val="Zkladntext20"/>
                    <w:shd w:val="clear" w:color="auto" w:fill="auto"/>
                    <w:spacing w:after="60" w:line="240" w:lineRule="exact"/>
                    <w:ind w:firstLine="0"/>
                    <w:rPr>
                      <w:rFonts w:asciiTheme="minorHAnsi" w:hAnsiTheme="minorHAnsi" w:cstheme="minorHAnsi"/>
                      <w:color w:val="000000" w:themeColor="text1"/>
                      <w:sz w:val="20"/>
                      <w:szCs w:val="20"/>
                    </w:rPr>
                  </w:pPr>
                  <w:r w:rsidRPr="00A24955">
                    <w:rPr>
                      <w:rStyle w:val="Zkladntext2Tun"/>
                      <w:rFonts w:asciiTheme="minorHAnsi" w:hAnsiTheme="minorHAnsi" w:cstheme="minorHAnsi"/>
                      <w:color w:val="000000" w:themeColor="text1"/>
                      <w:sz w:val="20"/>
                      <w:szCs w:val="20"/>
                    </w:rPr>
                    <w:t>Kód</w:t>
                  </w:r>
                </w:p>
                <w:p w14:paraId="30D493DE" w14:textId="77777777" w:rsidR="00A24955" w:rsidRPr="00A24955" w:rsidRDefault="00A24955" w:rsidP="00A24955">
                  <w:pPr>
                    <w:pStyle w:val="Zkladntext20"/>
                    <w:shd w:val="clear" w:color="auto" w:fill="auto"/>
                    <w:spacing w:before="60" w:after="0" w:line="240" w:lineRule="exact"/>
                    <w:ind w:left="240" w:firstLine="0"/>
                    <w:jc w:val="left"/>
                    <w:rPr>
                      <w:rFonts w:asciiTheme="minorHAnsi" w:hAnsiTheme="minorHAnsi" w:cstheme="minorHAnsi"/>
                      <w:color w:val="000000" w:themeColor="text1"/>
                      <w:sz w:val="20"/>
                      <w:szCs w:val="20"/>
                    </w:rPr>
                  </w:pPr>
                  <w:r w:rsidRPr="00A24955">
                    <w:rPr>
                      <w:rStyle w:val="Zkladntext2Tun"/>
                      <w:rFonts w:asciiTheme="minorHAnsi" w:hAnsiTheme="minorHAnsi" w:cstheme="minorHAnsi"/>
                      <w:color w:val="000000" w:themeColor="text1"/>
                      <w:sz w:val="20"/>
                      <w:szCs w:val="20"/>
                    </w:rPr>
                    <w:t>odpadu</w:t>
                  </w:r>
                </w:p>
              </w:tc>
              <w:tc>
                <w:tcPr>
                  <w:tcW w:w="3969" w:type="dxa"/>
                  <w:tcBorders>
                    <w:top w:val="single" w:sz="4" w:space="0" w:color="auto"/>
                    <w:left w:val="single" w:sz="4" w:space="0" w:color="auto"/>
                  </w:tcBorders>
                  <w:shd w:val="clear" w:color="auto" w:fill="FFFFFF"/>
                  <w:vAlign w:val="center"/>
                </w:tcPr>
                <w:p w14:paraId="66396AE3" w14:textId="77777777" w:rsidR="00A24955" w:rsidRPr="00A24955" w:rsidRDefault="00A24955" w:rsidP="00A24955">
                  <w:pPr>
                    <w:pStyle w:val="Zkladntext20"/>
                    <w:shd w:val="clear" w:color="auto" w:fill="auto"/>
                    <w:spacing w:after="0" w:line="240" w:lineRule="exact"/>
                    <w:ind w:firstLine="0"/>
                    <w:rPr>
                      <w:rFonts w:asciiTheme="minorHAnsi" w:hAnsiTheme="minorHAnsi" w:cstheme="minorHAnsi"/>
                      <w:color w:val="000000" w:themeColor="text1"/>
                      <w:sz w:val="20"/>
                      <w:szCs w:val="20"/>
                    </w:rPr>
                  </w:pPr>
                  <w:r w:rsidRPr="00A24955">
                    <w:rPr>
                      <w:rStyle w:val="Zkladntext2Tun"/>
                      <w:rFonts w:asciiTheme="minorHAnsi" w:hAnsiTheme="minorHAnsi" w:cstheme="minorHAnsi"/>
                      <w:color w:val="000000" w:themeColor="text1"/>
                      <w:sz w:val="20"/>
                      <w:szCs w:val="20"/>
                    </w:rPr>
                    <w:t>Názov odpadu</w:t>
                  </w:r>
                </w:p>
              </w:tc>
              <w:tc>
                <w:tcPr>
                  <w:tcW w:w="1216" w:type="dxa"/>
                  <w:tcBorders>
                    <w:top w:val="single" w:sz="4" w:space="0" w:color="auto"/>
                    <w:left w:val="single" w:sz="4" w:space="0" w:color="auto"/>
                    <w:right w:val="single" w:sz="4" w:space="0" w:color="auto"/>
                  </w:tcBorders>
                  <w:shd w:val="clear" w:color="auto" w:fill="FFFFFF"/>
                  <w:vAlign w:val="bottom"/>
                </w:tcPr>
                <w:p w14:paraId="43C66BFE" w14:textId="77777777" w:rsidR="00A24955" w:rsidRPr="00A24955" w:rsidRDefault="00A24955" w:rsidP="00A24955">
                  <w:pPr>
                    <w:pStyle w:val="Zkladntext20"/>
                    <w:shd w:val="clear" w:color="auto" w:fill="auto"/>
                    <w:spacing w:after="60" w:line="240" w:lineRule="exact"/>
                    <w:ind w:left="180" w:firstLine="0"/>
                    <w:jc w:val="left"/>
                    <w:rPr>
                      <w:rFonts w:asciiTheme="minorHAnsi" w:hAnsiTheme="minorHAnsi" w:cstheme="minorHAnsi"/>
                      <w:color w:val="000000" w:themeColor="text1"/>
                      <w:sz w:val="20"/>
                      <w:szCs w:val="20"/>
                    </w:rPr>
                  </w:pPr>
                  <w:r w:rsidRPr="00A24955">
                    <w:rPr>
                      <w:rStyle w:val="Zkladntext2Tun"/>
                      <w:rFonts w:asciiTheme="minorHAnsi" w:hAnsiTheme="minorHAnsi" w:cstheme="minorHAnsi"/>
                      <w:color w:val="000000" w:themeColor="text1"/>
                      <w:sz w:val="20"/>
                      <w:szCs w:val="20"/>
                    </w:rPr>
                    <w:t>Kategória</w:t>
                  </w:r>
                </w:p>
                <w:p w14:paraId="2E29CDD6" w14:textId="77777777" w:rsidR="00A24955" w:rsidRPr="00A24955" w:rsidRDefault="00A24955" w:rsidP="00A24955">
                  <w:pPr>
                    <w:pStyle w:val="Zkladntext20"/>
                    <w:shd w:val="clear" w:color="auto" w:fill="auto"/>
                    <w:spacing w:before="60" w:after="0" w:line="240" w:lineRule="exact"/>
                    <w:ind w:left="300" w:firstLine="0"/>
                    <w:jc w:val="left"/>
                    <w:rPr>
                      <w:rFonts w:asciiTheme="minorHAnsi" w:hAnsiTheme="minorHAnsi" w:cstheme="minorHAnsi"/>
                      <w:color w:val="000000" w:themeColor="text1"/>
                      <w:sz w:val="20"/>
                      <w:szCs w:val="20"/>
                    </w:rPr>
                  </w:pPr>
                  <w:r w:rsidRPr="00A24955">
                    <w:rPr>
                      <w:rStyle w:val="Zkladntext2Tun"/>
                      <w:rFonts w:asciiTheme="minorHAnsi" w:hAnsiTheme="minorHAnsi" w:cstheme="minorHAnsi"/>
                      <w:color w:val="000000" w:themeColor="text1"/>
                      <w:sz w:val="20"/>
                      <w:szCs w:val="20"/>
                    </w:rPr>
                    <w:t>odpadu</w:t>
                  </w:r>
                </w:p>
              </w:tc>
            </w:tr>
            <w:tr w:rsidR="00A24955" w:rsidRPr="008850EC" w14:paraId="299CE7F6" w14:textId="77777777" w:rsidTr="00DB7F9B">
              <w:trPr>
                <w:trHeight w:hRule="exact" w:val="585"/>
              </w:trPr>
              <w:tc>
                <w:tcPr>
                  <w:tcW w:w="1153" w:type="dxa"/>
                  <w:tcBorders>
                    <w:top w:val="single" w:sz="4" w:space="0" w:color="auto"/>
                    <w:left w:val="single" w:sz="4" w:space="0" w:color="auto"/>
                    <w:bottom w:val="single" w:sz="4" w:space="0" w:color="auto"/>
                  </w:tcBorders>
                  <w:shd w:val="clear" w:color="auto" w:fill="FFFFFF"/>
                </w:tcPr>
                <w:p w14:paraId="2F14ECC2" w14:textId="77777777" w:rsidR="00A24955" w:rsidRPr="00A24955" w:rsidRDefault="00A24955" w:rsidP="00A24955">
                  <w:pPr>
                    <w:pStyle w:val="Zkladntext20"/>
                    <w:shd w:val="clear" w:color="auto" w:fill="auto"/>
                    <w:spacing w:after="0" w:line="240" w:lineRule="exact"/>
                    <w:ind w:left="240" w:firstLine="0"/>
                    <w:jc w:val="left"/>
                    <w:rPr>
                      <w:rFonts w:asciiTheme="minorHAnsi" w:hAnsiTheme="minorHAnsi" w:cstheme="minorHAnsi"/>
                      <w:color w:val="000000" w:themeColor="text1"/>
                      <w:sz w:val="20"/>
                      <w:szCs w:val="20"/>
                    </w:rPr>
                  </w:pPr>
                  <w:r w:rsidRPr="00A24955">
                    <w:rPr>
                      <w:rFonts w:asciiTheme="minorHAnsi" w:hAnsiTheme="minorHAnsi" w:cstheme="minorHAnsi"/>
                      <w:color w:val="000000" w:themeColor="text1"/>
                      <w:sz w:val="20"/>
                      <w:szCs w:val="20"/>
                    </w:rPr>
                    <w:t>17 05 06</w:t>
                  </w:r>
                </w:p>
              </w:tc>
              <w:tc>
                <w:tcPr>
                  <w:tcW w:w="3969" w:type="dxa"/>
                  <w:tcBorders>
                    <w:top w:val="single" w:sz="4" w:space="0" w:color="auto"/>
                    <w:left w:val="single" w:sz="4" w:space="0" w:color="auto"/>
                    <w:bottom w:val="single" w:sz="4" w:space="0" w:color="auto"/>
                  </w:tcBorders>
                  <w:shd w:val="clear" w:color="auto" w:fill="FFFFFF"/>
                </w:tcPr>
                <w:p w14:paraId="50CB8DF1" w14:textId="77777777" w:rsidR="00A24955" w:rsidRPr="00A24955" w:rsidRDefault="00A24955" w:rsidP="00A24955">
                  <w:pPr>
                    <w:pStyle w:val="Zkladntext20"/>
                    <w:shd w:val="clear" w:color="auto" w:fill="auto"/>
                    <w:spacing w:after="0" w:line="240" w:lineRule="exact"/>
                    <w:ind w:firstLine="0"/>
                    <w:jc w:val="left"/>
                    <w:rPr>
                      <w:rFonts w:asciiTheme="minorHAnsi" w:hAnsiTheme="minorHAnsi" w:cstheme="minorHAnsi"/>
                      <w:color w:val="000000" w:themeColor="text1"/>
                      <w:sz w:val="20"/>
                      <w:szCs w:val="20"/>
                    </w:rPr>
                  </w:pPr>
                  <w:r w:rsidRPr="00A24955">
                    <w:rPr>
                      <w:rFonts w:asciiTheme="minorHAnsi" w:hAnsiTheme="minorHAnsi" w:cstheme="minorHAnsi"/>
                      <w:color w:val="000000" w:themeColor="text1"/>
                      <w:sz w:val="20"/>
                      <w:szCs w:val="20"/>
                    </w:rPr>
                    <w:t>Výkopová zemina iná ako uvedená v 17 05 05</w:t>
                  </w:r>
                </w:p>
              </w:tc>
              <w:tc>
                <w:tcPr>
                  <w:tcW w:w="1216" w:type="dxa"/>
                  <w:tcBorders>
                    <w:top w:val="single" w:sz="4" w:space="0" w:color="auto"/>
                    <w:left w:val="single" w:sz="4" w:space="0" w:color="auto"/>
                    <w:bottom w:val="single" w:sz="4" w:space="0" w:color="auto"/>
                    <w:right w:val="single" w:sz="4" w:space="0" w:color="auto"/>
                  </w:tcBorders>
                  <w:shd w:val="clear" w:color="auto" w:fill="FFFFFF"/>
                </w:tcPr>
                <w:p w14:paraId="2C112A9F" w14:textId="77777777" w:rsidR="00A24955" w:rsidRPr="00A24955" w:rsidRDefault="00A24955" w:rsidP="00A24955">
                  <w:pPr>
                    <w:pStyle w:val="Zkladntext20"/>
                    <w:shd w:val="clear" w:color="auto" w:fill="auto"/>
                    <w:spacing w:after="0" w:line="240" w:lineRule="exact"/>
                    <w:ind w:firstLine="0"/>
                    <w:rPr>
                      <w:rFonts w:asciiTheme="minorHAnsi" w:hAnsiTheme="minorHAnsi" w:cstheme="minorHAnsi"/>
                      <w:color w:val="000000" w:themeColor="text1"/>
                      <w:sz w:val="20"/>
                      <w:szCs w:val="20"/>
                    </w:rPr>
                  </w:pPr>
                  <w:r w:rsidRPr="00A24955">
                    <w:rPr>
                      <w:rFonts w:asciiTheme="minorHAnsi" w:hAnsiTheme="minorHAnsi" w:cstheme="minorHAnsi"/>
                      <w:color w:val="000000" w:themeColor="text1"/>
                      <w:sz w:val="20"/>
                      <w:szCs w:val="20"/>
                    </w:rPr>
                    <w:t>O</w:t>
                  </w:r>
                </w:p>
              </w:tc>
            </w:tr>
          </w:tbl>
          <w:p w14:paraId="38363AEE" w14:textId="77777777" w:rsidR="0054195B" w:rsidRDefault="0054195B" w:rsidP="0054195B">
            <w:pPr>
              <w:jc w:val="both"/>
              <w:rPr>
                <w:sz w:val="20"/>
                <w:szCs w:val="20"/>
              </w:rPr>
            </w:pPr>
            <w:r w:rsidRPr="00A24955">
              <w:rPr>
                <w:sz w:val="20"/>
                <w:szCs w:val="20"/>
              </w:rPr>
              <w:t>Predmetná kat. je definovaná v súhlase OÚ Žilina na skladovanie výkopovej zeminy, ako aj v Rozhodnutí MŽP SR  zo zisťovacieho konania. (viď. príloha).</w:t>
            </w:r>
          </w:p>
          <w:p w14:paraId="09A76030" w14:textId="26E37B7D" w:rsidR="00A24955" w:rsidRPr="00A24955" w:rsidRDefault="00A24955" w:rsidP="00A24955">
            <w:pPr>
              <w:jc w:val="both"/>
              <w:rPr>
                <w:sz w:val="20"/>
                <w:szCs w:val="20"/>
              </w:rPr>
            </w:pPr>
          </w:p>
          <w:p w14:paraId="6E5BAD1B" w14:textId="0B504C63" w:rsidR="001572F8" w:rsidRPr="00EA594B" w:rsidRDefault="001572F8" w:rsidP="001572F8">
            <w:pPr>
              <w:jc w:val="both"/>
            </w:pPr>
          </w:p>
        </w:tc>
      </w:tr>
      <w:tr w:rsidR="001572F8" w:rsidRPr="00497141" w14:paraId="3D0123EB" w14:textId="77777777" w:rsidTr="00D945B4">
        <w:trPr>
          <w:trHeight w:val="995"/>
        </w:trPr>
        <w:tc>
          <w:tcPr>
            <w:tcW w:w="971" w:type="dxa"/>
            <w:shd w:val="clear" w:color="auto" w:fill="auto"/>
          </w:tcPr>
          <w:p w14:paraId="6A3FFB51" w14:textId="1B6DD6EC" w:rsidR="001572F8" w:rsidRDefault="001572F8" w:rsidP="001572F8">
            <w:r>
              <w:t>199</w:t>
            </w:r>
          </w:p>
        </w:tc>
        <w:tc>
          <w:tcPr>
            <w:tcW w:w="8810" w:type="dxa"/>
            <w:shd w:val="clear" w:color="auto" w:fill="auto"/>
          </w:tcPr>
          <w:p w14:paraId="445E610C"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Vo VšP sú uvedené položky:</w:t>
            </w:r>
          </w:p>
          <w:p w14:paraId="73BDE49F"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Poplatok za skládkovanie vybúraných</w:t>
            </w:r>
          </w:p>
          <w:p w14:paraId="56F88ABE"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hmôt a sutí</w:t>
            </w:r>
          </w:p>
          <w:p w14:paraId="17EF72EB"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t 8 080,82</w:t>
            </w:r>
          </w:p>
          <w:p w14:paraId="58185751"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Poplatok za skládkovanie nevhodnej</w:t>
            </w:r>
          </w:p>
          <w:p w14:paraId="38DAB63D"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zeminy</w:t>
            </w:r>
          </w:p>
          <w:p w14:paraId="398E06A5"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t 10 783,50</w:t>
            </w:r>
          </w:p>
          <w:p w14:paraId="18A1C288"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Poplatok za skládkovanie drevnej</w:t>
            </w:r>
          </w:p>
          <w:p w14:paraId="10B0A60A"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hmoty</w:t>
            </w:r>
          </w:p>
          <w:p w14:paraId="63DE7DCF"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t 576,72</w:t>
            </w:r>
          </w:p>
          <w:p w14:paraId="698D6688"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Máme za to, že podľa bilancie odpadov je v nich zahrnutý aj odstránený asfalt, pričom v SP ako aj</w:t>
            </w:r>
          </w:p>
          <w:p w14:paraId="70A364AB"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v doterajších odpovediach VO bolo uvedené, že asfalt sa má doviezť do 10 km bez poplatku.</w:t>
            </w:r>
          </w:p>
          <w:p w14:paraId="339947EA" w14:textId="4759D83A" w:rsidR="001572F8" w:rsidRDefault="001572F8" w:rsidP="001572F8">
            <w:pPr>
              <w:jc w:val="both"/>
              <w:rPr>
                <w:rFonts w:ascii="Open Sans" w:hAnsi="Open Sans"/>
                <w:color w:val="333333"/>
                <w:sz w:val="20"/>
                <w:szCs w:val="20"/>
                <w:shd w:val="clear" w:color="auto" w:fill="FFFFFF"/>
              </w:rPr>
            </w:pPr>
            <w:r>
              <w:rPr>
                <w:rFonts w:ascii="CIDFont+F1" w:hAnsi="CIDFont+F1" w:cs="CIDFont+F1"/>
                <w:sz w:val="20"/>
                <w:szCs w:val="20"/>
              </w:rPr>
              <w:t>Žiadame o odstránenie uvedeného rozdielu.</w:t>
            </w:r>
          </w:p>
        </w:tc>
        <w:tc>
          <w:tcPr>
            <w:tcW w:w="6521" w:type="dxa"/>
            <w:shd w:val="clear" w:color="auto" w:fill="auto"/>
          </w:tcPr>
          <w:p w14:paraId="1A68AEA8" w14:textId="2D217B1D" w:rsidR="001572F8" w:rsidRPr="001572F8" w:rsidRDefault="001572F8" w:rsidP="001572F8">
            <w:pPr>
              <w:jc w:val="both"/>
              <w:rPr>
                <w:sz w:val="20"/>
                <w:szCs w:val="20"/>
              </w:rPr>
            </w:pPr>
            <w:r w:rsidRPr="00A24955">
              <w:rPr>
                <w:color w:val="000000" w:themeColor="text1"/>
                <w:sz w:val="20"/>
                <w:szCs w:val="20"/>
              </w:rPr>
              <w:t>Nakoľko v súčasnosti nie je uzavretý zmluvný vzťah so správcami komunikácií, ponechávame uvedené množstvo 3579t výfrezku vo všeobecnej položke č. 112. Fakturujú sa len skutočne realizované práce, množstvá.</w:t>
            </w:r>
          </w:p>
        </w:tc>
      </w:tr>
      <w:tr w:rsidR="001572F8" w:rsidRPr="00497141" w14:paraId="433B5D82" w14:textId="77777777" w:rsidTr="00D945B4">
        <w:trPr>
          <w:trHeight w:val="995"/>
        </w:trPr>
        <w:tc>
          <w:tcPr>
            <w:tcW w:w="971" w:type="dxa"/>
            <w:shd w:val="clear" w:color="auto" w:fill="auto"/>
          </w:tcPr>
          <w:p w14:paraId="41FC93F5" w14:textId="7D522EC9" w:rsidR="001572F8" w:rsidRDefault="001572F8" w:rsidP="001572F8">
            <w:r>
              <w:t>200</w:t>
            </w:r>
          </w:p>
        </w:tc>
        <w:tc>
          <w:tcPr>
            <w:tcW w:w="8810" w:type="dxa"/>
            <w:shd w:val="clear" w:color="auto" w:fill="auto"/>
          </w:tcPr>
          <w:p w14:paraId="5CC8F652"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V poskytnutých VV na SO101, SO121, SO204 je uvedená mobilná PHS stena, ale chýba k nej výkres</w:t>
            </w:r>
          </w:p>
          <w:p w14:paraId="249E8C0C"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resp. detaily.</w:t>
            </w:r>
          </w:p>
          <w:p w14:paraId="11C4EB7C" w14:textId="716F5D2E" w:rsidR="001572F8" w:rsidRDefault="001572F8" w:rsidP="001572F8">
            <w:pPr>
              <w:jc w:val="both"/>
              <w:rPr>
                <w:rFonts w:ascii="Open Sans" w:hAnsi="Open Sans"/>
                <w:color w:val="333333"/>
                <w:sz w:val="20"/>
                <w:szCs w:val="20"/>
                <w:shd w:val="clear" w:color="auto" w:fill="FFFFFF"/>
              </w:rPr>
            </w:pPr>
            <w:r>
              <w:rPr>
                <w:rFonts w:ascii="CIDFont+F1" w:hAnsi="CIDFont+F1" w:cs="CIDFont+F1"/>
                <w:sz w:val="20"/>
                <w:szCs w:val="20"/>
              </w:rPr>
              <w:t>Uchádzač nemá z čoho oceniť danú mobilnú PHS. Žiadame o doplnenie.</w:t>
            </w:r>
          </w:p>
        </w:tc>
        <w:tc>
          <w:tcPr>
            <w:tcW w:w="6521" w:type="dxa"/>
            <w:shd w:val="clear" w:color="auto" w:fill="auto"/>
          </w:tcPr>
          <w:p w14:paraId="4A8AA07B" w14:textId="757E0E98" w:rsidR="001572F8" w:rsidRPr="001572F8" w:rsidRDefault="001572F8" w:rsidP="001572F8">
            <w:pPr>
              <w:jc w:val="both"/>
              <w:rPr>
                <w:sz w:val="20"/>
                <w:szCs w:val="20"/>
              </w:rPr>
            </w:pPr>
            <w:r w:rsidRPr="001572F8">
              <w:rPr>
                <w:sz w:val="20"/>
                <w:szCs w:val="20"/>
              </w:rPr>
              <w:t xml:space="preserve">Predmetné objekty nie sú súčasťou stavby Diaľnica D3 Žilina (Brodno) – Kysucké Nové Mesto, privádzač. Nesúvisia s predmetom verejného obstarávania. </w:t>
            </w:r>
          </w:p>
        </w:tc>
      </w:tr>
      <w:tr w:rsidR="001572F8" w:rsidRPr="00497141" w14:paraId="5210DD16" w14:textId="77777777" w:rsidTr="00D945B4">
        <w:trPr>
          <w:trHeight w:val="995"/>
        </w:trPr>
        <w:tc>
          <w:tcPr>
            <w:tcW w:w="971" w:type="dxa"/>
            <w:shd w:val="clear" w:color="auto" w:fill="auto"/>
          </w:tcPr>
          <w:p w14:paraId="0046E2DC" w14:textId="6C4374D6" w:rsidR="001572F8" w:rsidRDefault="001572F8" w:rsidP="001572F8">
            <w:r>
              <w:lastRenderedPageBreak/>
              <w:t>201</w:t>
            </w:r>
          </w:p>
        </w:tc>
        <w:tc>
          <w:tcPr>
            <w:tcW w:w="8810" w:type="dxa"/>
            <w:shd w:val="clear" w:color="auto" w:fill="auto"/>
          </w:tcPr>
          <w:p w14:paraId="5856B016"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Vo výkaze výmer k SO 101-00 sa nachádza položka:</w:t>
            </w:r>
          </w:p>
          <w:p w14:paraId="10AE17EF"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Doplňujúce konštrukcie, protihlukové</w:t>
            </w:r>
          </w:p>
          <w:p w14:paraId="01D8DA6F"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steny z betónových tvárnic</w:t>
            </w:r>
          </w:p>
          <w:p w14:paraId="7740870C"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M2 8 138,10</w:t>
            </w:r>
          </w:p>
          <w:p w14:paraId="0189D672"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Z poskytnutej projektovej dokumentácie však nie sú zrejmé typ, vzhľad, ani ďalšie parametre tejto</w:t>
            </w:r>
          </w:p>
          <w:p w14:paraId="1FF47A01"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protihlukovej steny, nakoľko v nej chýba výkres PHS, resp. jej podrobnejší popis.</w:t>
            </w:r>
          </w:p>
          <w:p w14:paraId="3A79B5D0" w14:textId="00F940C0" w:rsidR="001572F8" w:rsidRDefault="001572F8" w:rsidP="001572F8">
            <w:pPr>
              <w:jc w:val="both"/>
              <w:rPr>
                <w:rFonts w:ascii="Open Sans" w:hAnsi="Open Sans"/>
                <w:color w:val="333333"/>
                <w:sz w:val="20"/>
                <w:szCs w:val="20"/>
                <w:shd w:val="clear" w:color="auto" w:fill="FFFFFF"/>
              </w:rPr>
            </w:pPr>
            <w:r>
              <w:rPr>
                <w:rFonts w:ascii="CIDFont+F4" w:hAnsi="CIDFont+F4" w:cs="CIDFont+F4"/>
              </w:rPr>
              <w:t>Žiadame obstarávateľa o doplnenie projektovej dokumentácie o výkres PHS.</w:t>
            </w:r>
          </w:p>
        </w:tc>
        <w:tc>
          <w:tcPr>
            <w:tcW w:w="6521" w:type="dxa"/>
            <w:shd w:val="clear" w:color="auto" w:fill="auto"/>
          </w:tcPr>
          <w:p w14:paraId="6A40C6A0" w14:textId="3D84E138" w:rsidR="001572F8" w:rsidRPr="001572F8" w:rsidRDefault="001572F8" w:rsidP="001572F8">
            <w:pPr>
              <w:jc w:val="both"/>
              <w:rPr>
                <w:sz w:val="20"/>
                <w:szCs w:val="20"/>
              </w:rPr>
            </w:pPr>
            <w:r w:rsidRPr="001572F8">
              <w:rPr>
                <w:sz w:val="20"/>
                <w:szCs w:val="20"/>
              </w:rPr>
              <w:t>Stavebný objekt nie je súčasťou stavby Diaľnica D3 Žilina (Brodno) – Kysucké Nové Mesto, privádzač. Nesúvisí s predmetom verejného obstarávania.</w:t>
            </w:r>
          </w:p>
        </w:tc>
      </w:tr>
      <w:tr w:rsidR="001572F8" w:rsidRPr="00497141" w14:paraId="7676AD33" w14:textId="77777777" w:rsidTr="00D945B4">
        <w:trPr>
          <w:trHeight w:val="995"/>
        </w:trPr>
        <w:tc>
          <w:tcPr>
            <w:tcW w:w="971" w:type="dxa"/>
            <w:shd w:val="clear" w:color="auto" w:fill="auto"/>
          </w:tcPr>
          <w:p w14:paraId="1FE075CD" w14:textId="4F420B81" w:rsidR="001572F8" w:rsidRDefault="001572F8" w:rsidP="001572F8">
            <w:r>
              <w:t>202</w:t>
            </w:r>
          </w:p>
        </w:tc>
        <w:tc>
          <w:tcPr>
            <w:tcW w:w="8810" w:type="dxa"/>
            <w:shd w:val="clear" w:color="auto" w:fill="auto"/>
          </w:tcPr>
          <w:p w14:paraId="7535B032"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Žiadame VO o upresnenie, či v položke č. 113 Poplatok za skládkovanie nevhodnej zeminy v rámci</w:t>
            </w:r>
          </w:p>
          <w:p w14:paraId="27B55754"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všeobecných položiek vo výmere 10 783,50 t je zahrnutá aj zemina z vývrtu pilót? V prípade, že nie je</w:t>
            </w:r>
          </w:p>
          <w:p w14:paraId="0113F0B3" w14:textId="72E40129" w:rsidR="001572F8" w:rsidRDefault="001572F8" w:rsidP="001572F8">
            <w:pPr>
              <w:jc w:val="both"/>
              <w:rPr>
                <w:rFonts w:ascii="Open Sans" w:hAnsi="Open Sans"/>
                <w:color w:val="333333"/>
                <w:sz w:val="20"/>
                <w:szCs w:val="20"/>
                <w:shd w:val="clear" w:color="auto" w:fill="FFFFFF"/>
              </w:rPr>
            </w:pPr>
            <w:r>
              <w:rPr>
                <w:rFonts w:ascii="CIDFont+F1" w:hAnsi="CIDFont+F1" w:cs="CIDFont+F1"/>
                <w:sz w:val="20"/>
                <w:szCs w:val="20"/>
              </w:rPr>
              <w:t>zahrnutá, do ktorej položky si má uchádzač tento náklad zahrnúť?</w:t>
            </w:r>
          </w:p>
        </w:tc>
        <w:tc>
          <w:tcPr>
            <w:tcW w:w="6521" w:type="dxa"/>
            <w:shd w:val="clear" w:color="auto" w:fill="auto"/>
          </w:tcPr>
          <w:p w14:paraId="7505B17B" w14:textId="686E63A4" w:rsidR="001572F8" w:rsidRPr="00EA594B" w:rsidRDefault="001572F8" w:rsidP="001572F8">
            <w:pPr>
              <w:autoSpaceDE w:val="0"/>
              <w:autoSpaceDN w:val="0"/>
              <w:adjustRightInd w:val="0"/>
            </w:pPr>
            <w:r w:rsidRPr="001572F8">
              <w:rPr>
                <w:rFonts w:ascii="CIDFont+F1" w:hAnsi="CIDFont+F1" w:cs="CIDFont+F1"/>
                <w:sz w:val="20"/>
                <w:szCs w:val="20"/>
              </w:rPr>
              <w:t>Áno, je zahrnutá aj zemina z vývrtu.</w:t>
            </w:r>
          </w:p>
        </w:tc>
      </w:tr>
      <w:tr w:rsidR="001572F8" w:rsidRPr="00497141" w14:paraId="581ED9F2" w14:textId="77777777" w:rsidTr="00D945B4">
        <w:trPr>
          <w:trHeight w:val="995"/>
        </w:trPr>
        <w:tc>
          <w:tcPr>
            <w:tcW w:w="971" w:type="dxa"/>
            <w:shd w:val="clear" w:color="auto" w:fill="auto"/>
          </w:tcPr>
          <w:p w14:paraId="2D121D05" w14:textId="593212A5" w:rsidR="001572F8" w:rsidRDefault="001572F8" w:rsidP="001572F8">
            <w:r>
              <w:t>203</w:t>
            </w:r>
          </w:p>
        </w:tc>
        <w:tc>
          <w:tcPr>
            <w:tcW w:w="8810" w:type="dxa"/>
            <w:shd w:val="clear" w:color="auto" w:fill="auto"/>
          </w:tcPr>
          <w:p w14:paraId="300D8552"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V poslednom vysvetlení VO doplnil do Všeobecných položiek položku č. 122 Zemník (depónia</w:t>
            </w:r>
          </w:p>
          <w:p w14:paraId="1CFCB08C" w14:textId="7906AF79"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obstarávateľa). V predchádzajúcich odpovediach VO uviedol, že bude bezplatne poskytovať materiál z</w:t>
            </w:r>
          </w:p>
          <w:p w14:paraId="250D9A97"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tohto zemníka a že ostatné potrebné položky sú už vo VV (doprava, úprava, ...). Preto žiadame VO o</w:t>
            </w:r>
          </w:p>
          <w:p w14:paraId="2AF016E5" w14:textId="15F06162" w:rsidR="001572F8" w:rsidRDefault="001572F8" w:rsidP="001572F8">
            <w:pPr>
              <w:jc w:val="both"/>
              <w:rPr>
                <w:rFonts w:ascii="Open Sans" w:hAnsi="Open Sans"/>
                <w:color w:val="333333"/>
                <w:sz w:val="20"/>
                <w:szCs w:val="20"/>
                <w:shd w:val="clear" w:color="auto" w:fill="FFFFFF"/>
              </w:rPr>
            </w:pPr>
            <w:r>
              <w:rPr>
                <w:rFonts w:ascii="CIDFont+F1" w:hAnsi="CIDFont+F1" w:cs="CIDFont+F1"/>
                <w:sz w:val="20"/>
                <w:szCs w:val="20"/>
              </w:rPr>
              <w:t>vysvetlenie, čo má byť v rámci tejto položky ocenené?</w:t>
            </w:r>
          </w:p>
        </w:tc>
        <w:tc>
          <w:tcPr>
            <w:tcW w:w="6521" w:type="dxa"/>
            <w:shd w:val="clear" w:color="auto" w:fill="auto"/>
          </w:tcPr>
          <w:p w14:paraId="57AB0D02" w14:textId="0EAE72F8" w:rsidR="001572F8" w:rsidRPr="001572F8" w:rsidRDefault="001572F8" w:rsidP="001572F8">
            <w:pPr>
              <w:jc w:val="both"/>
              <w:rPr>
                <w:rFonts w:ascii="CIDFont+F1" w:hAnsi="CIDFont+F1" w:cs="CIDFont+F1"/>
                <w:sz w:val="20"/>
                <w:szCs w:val="20"/>
              </w:rPr>
            </w:pPr>
            <w:r w:rsidRPr="001572F8">
              <w:rPr>
                <w:rFonts w:ascii="CIDFont+F1" w:hAnsi="CIDFont+F1" w:cs="CIDFont+F1"/>
                <w:sz w:val="20"/>
                <w:szCs w:val="20"/>
              </w:rPr>
              <w:t>V rámci tejto položky bude ocenené zhodnocovanie odpadu mobilným zariadením v mieste depónie D3 Čadca- Bukov a zabezpečenie súhlasu orgánu štátnej správy odpadového hospodárstva na zhodnocovanie odpadov alebo zneškodnenie odpadov mobilným zariadením. (t.z. z depónie sa bude vyvážať stavebný materiál, ktorý je podmienečne vhodný do násypov , čiže stavebný materiál a nie odpad).</w:t>
            </w:r>
          </w:p>
        </w:tc>
      </w:tr>
      <w:tr w:rsidR="001572F8" w:rsidRPr="00497141" w14:paraId="1F5E9A12" w14:textId="77777777" w:rsidTr="00D945B4">
        <w:trPr>
          <w:trHeight w:val="995"/>
        </w:trPr>
        <w:tc>
          <w:tcPr>
            <w:tcW w:w="971" w:type="dxa"/>
            <w:shd w:val="clear" w:color="auto" w:fill="auto"/>
          </w:tcPr>
          <w:p w14:paraId="5EFD1267" w14:textId="583FF650" w:rsidR="001572F8" w:rsidRDefault="001572F8" w:rsidP="001572F8">
            <w:r>
              <w:t>204</w:t>
            </w:r>
          </w:p>
        </w:tc>
        <w:tc>
          <w:tcPr>
            <w:tcW w:w="8810" w:type="dxa"/>
            <w:shd w:val="clear" w:color="auto" w:fill="auto"/>
          </w:tcPr>
          <w:p w14:paraId="41D4ADDD" w14:textId="77777777" w:rsidR="001572F8" w:rsidRDefault="001572F8" w:rsidP="001572F8">
            <w:pPr>
              <w:autoSpaceDE w:val="0"/>
              <w:autoSpaceDN w:val="0"/>
              <w:adjustRightInd w:val="0"/>
              <w:rPr>
                <w:rFonts w:ascii="CIDFont+F1" w:hAnsi="CIDFont+F1" w:cs="CIDFont+F1"/>
                <w:sz w:val="20"/>
                <w:szCs w:val="20"/>
              </w:rPr>
            </w:pPr>
            <w:r>
              <w:rPr>
                <w:rFonts w:ascii="CIDFont+F1" w:hAnsi="CIDFont+F1" w:cs="CIDFont+F1"/>
                <w:sz w:val="20"/>
                <w:szCs w:val="20"/>
              </w:rPr>
              <w:t>Žiadame VO o objasnenie výpočtu množstva položky č. 112 Poplatok za skládkovanie vybúraných hmôt</w:t>
            </w:r>
          </w:p>
          <w:p w14:paraId="2DB7D043" w14:textId="171ED925" w:rsidR="001572F8" w:rsidRDefault="001572F8" w:rsidP="001572F8">
            <w:pPr>
              <w:jc w:val="both"/>
              <w:rPr>
                <w:rFonts w:ascii="Open Sans" w:hAnsi="Open Sans"/>
                <w:color w:val="333333"/>
                <w:sz w:val="20"/>
                <w:szCs w:val="20"/>
                <w:shd w:val="clear" w:color="auto" w:fill="FFFFFF"/>
              </w:rPr>
            </w:pPr>
            <w:r>
              <w:rPr>
                <w:rFonts w:ascii="CIDFont+F1" w:hAnsi="CIDFont+F1" w:cs="CIDFont+F1"/>
                <w:sz w:val="20"/>
                <w:szCs w:val="20"/>
              </w:rPr>
              <w:t>a sutí 9.594,11 ton.</w:t>
            </w:r>
          </w:p>
        </w:tc>
        <w:tc>
          <w:tcPr>
            <w:tcW w:w="6521" w:type="dxa"/>
            <w:shd w:val="clear" w:color="auto" w:fill="auto"/>
          </w:tcPr>
          <w:p w14:paraId="7FBD61D1" w14:textId="06433A31" w:rsidR="001572F8" w:rsidRPr="00EA594B" w:rsidRDefault="001572F8" w:rsidP="001572F8">
            <w:pPr>
              <w:jc w:val="both"/>
            </w:pPr>
            <w:r>
              <w:rPr>
                <w:rFonts w:ascii="CIDFont+F1" w:hAnsi="CIDFont+F1" w:cs="CIDFont+F1"/>
                <w:sz w:val="20"/>
                <w:szCs w:val="20"/>
              </w:rPr>
              <w:t>Pre výpočet množstva pre pol. č</w:t>
            </w:r>
            <w:r w:rsidRPr="001572F8">
              <w:rPr>
                <w:rFonts w:ascii="CIDFont+F1" w:hAnsi="CIDFont+F1" w:cs="CIDFont+F1"/>
                <w:sz w:val="20"/>
                <w:szCs w:val="20"/>
              </w:rPr>
              <w:t>. 112 slúži tabuľka bilancií odpadov zo Sprievodnej správy bez množstiev vyčíslených v pol.č.113 a č.114 a bez množstiev demontovaného materiálu z preložiek inžinierskych sietí.</w:t>
            </w:r>
          </w:p>
        </w:tc>
      </w:tr>
      <w:tr w:rsidR="006B3896" w:rsidRPr="00497141" w14:paraId="03C82004" w14:textId="77777777" w:rsidTr="00D945B4">
        <w:trPr>
          <w:trHeight w:val="995"/>
        </w:trPr>
        <w:tc>
          <w:tcPr>
            <w:tcW w:w="971" w:type="dxa"/>
            <w:shd w:val="clear" w:color="auto" w:fill="auto"/>
          </w:tcPr>
          <w:p w14:paraId="4DF6C673" w14:textId="2EFDD315" w:rsidR="006B3896" w:rsidRDefault="006B3896" w:rsidP="001572F8">
            <w:r>
              <w:t>205</w:t>
            </w:r>
          </w:p>
        </w:tc>
        <w:tc>
          <w:tcPr>
            <w:tcW w:w="8810" w:type="dxa"/>
            <w:shd w:val="clear" w:color="auto" w:fill="auto"/>
          </w:tcPr>
          <w:p w14:paraId="03DB2CB7" w14:textId="77777777" w:rsidR="006B3896" w:rsidRDefault="006B3896" w:rsidP="006B3896">
            <w:r>
              <w:t xml:space="preserve">V Súťažných podkladoch Zväzok 1 ZVÄZOK 1 POKYNY PRE ZÁUJEMCOV / UCHÁDZAČOV, ČASŤ A1 Pokyny pre uchádzačov, Časť V. Otváranie a vyhodnotenie ponúk, bod 26 je vo všeobecnosti uvedené, že uchádzači sa môžu osobne zúčastniť na otváraní ponúk na adrese: </w:t>
            </w:r>
            <w:r>
              <w:rPr>
                <w:i/>
              </w:rPr>
              <w:t xml:space="preserve">Národná diaľničná spoločnosť, a.s., Dúbravská cesta 14, 841 04 Bratislava v zasadačke na I. poschodí. </w:t>
            </w:r>
            <w:r>
              <w:t>Napriek tomu, že otváranie ponúk má prebiehať elektronicky (t.j. na počítači</w:t>
            </w:r>
            <w:r>
              <w:rPr>
                <w:lang w:val="cs-CZ"/>
              </w:rPr>
              <w:t xml:space="preserve">), </w:t>
            </w:r>
            <w:r>
              <w:t xml:space="preserve">tak uchádzači svoju účasť na otváraní ponúk môžu podľa súťažných podkladov zabezpečiť iba osobnou účasťou priamo na uvedenom mieste. Nie je zrejmé ako verejný obstarávateľ za súčasných epidemiologických opatrení, hlavne zákazu zhromažďovania sa a za zhoršujúcej sa epidemiologickej situácie zabezpečí možnosť fyzickej prítomnosti zástupcu každého uchádzača a zároveň osôb zastupujúcich verejného obstarávateľa. </w:t>
            </w:r>
          </w:p>
          <w:p w14:paraId="0A4F161E" w14:textId="77777777" w:rsidR="006B3896" w:rsidRDefault="006B3896" w:rsidP="006B3896">
            <w:pPr>
              <w:spacing w:after="120"/>
            </w:pPr>
          </w:p>
          <w:p w14:paraId="171021C4" w14:textId="77777777" w:rsidR="006B3896" w:rsidRDefault="006B3896" w:rsidP="006B3896">
            <w:pPr>
              <w:spacing w:after="120"/>
              <w:rPr>
                <w:b/>
              </w:rPr>
            </w:pPr>
            <w:r>
              <w:rPr>
                <w:b/>
              </w:rPr>
              <w:t xml:space="preserve">Otázka č. 1a: Neuskutoční verejný obstarávateľ plne elektronické otváraní ponúk v prostredí JOSEPHINE? </w:t>
            </w:r>
          </w:p>
          <w:p w14:paraId="0F280BC9" w14:textId="20410D47" w:rsidR="006B3896" w:rsidRPr="007E3639" w:rsidRDefault="006B3896" w:rsidP="007E3639">
            <w:pPr>
              <w:spacing w:after="120"/>
              <w:rPr>
                <w:b/>
              </w:rPr>
            </w:pPr>
            <w:r>
              <w:rPr>
                <w:b/>
              </w:rPr>
              <w:lastRenderedPageBreak/>
              <w:t xml:space="preserve">Otázka č. 1b: Ak nie, ako verejný obstarávateľ zabezpečí osobnú účasť zástupcov uchádzačov na otváraní ponúk na jednom mieste pri súčasnej epidemiologických situácii? </w:t>
            </w:r>
          </w:p>
        </w:tc>
        <w:tc>
          <w:tcPr>
            <w:tcW w:w="6521" w:type="dxa"/>
            <w:shd w:val="clear" w:color="auto" w:fill="auto"/>
          </w:tcPr>
          <w:p w14:paraId="618E0172" w14:textId="77777777" w:rsidR="006B3896" w:rsidRDefault="00355453" w:rsidP="001572F8">
            <w:pPr>
              <w:jc w:val="both"/>
              <w:rPr>
                <w:rFonts w:ascii="CIDFont+F1" w:hAnsi="CIDFont+F1" w:cs="CIDFont+F1"/>
                <w:sz w:val="20"/>
                <w:szCs w:val="20"/>
              </w:rPr>
            </w:pPr>
            <w:r>
              <w:rPr>
                <w:rFonts w:ascii="CIDFont+F1" w:hAnsi="CIDFont+F1" w:cs="CIDFont+F1"/>
                <w:sz w:val="20"/>
                <w:szCs w:val="20"/>
              </w:rPr>
              <w:lastRenderedPageBreak/>
              <w:t>1a) Nie platia súťažné podklady</w:t>
            </w:r>
          </w:p>
          <w:p w14:paraId="1818E3D8" w14:textId="77777777" w:rsidR="00355453" w:rsidRDefault="00355453" w:rsidP="001572F8">
            <w:pPr>
              <w:jc w:val="both"/>
              <w:rPr>
                <w:rFonts w:ascii="CIDFont+F1" w:hAnsi="CIDFont+F1" w:cs="CIDFont+F1"/>
                <w:sz w:val="20"/>
                <w:szCs w:val="20"/>
              </w:rPr>
            </w:pPr>
          </w:p>
          <w:p w14:paraId="0E58E7FA" w14:textId="698EA85E" w:rsidR="00355453" w:rsidRDefault="00355453" w:rsidP="00355453">
            <w:pPr>
              <w:jc w:val="both"/>
              <w:rPr>
                <w:rFonts w:ascii="CIDFont+F1" w:hAnsi="CIDFont+F1" w:cs="CIDFont+F1"/>
                <w:sz w:val="20"/>
                <w:szCs w:val="20"/>
              </w:rPr>
            </w:pPr>
            <w:r>
              <w:rPr>
                <w:rFonts w:ascii="CIDFont+F1" w:hAnsi="CIDFont+F1" w:cs="CIDFont+F1"/>
                <w:sz w:val="20"/>
                <w:szCs w:val="20"/>
              </w:rPr>
              <w:t>1b) Verejný obstarávateľ odporúča maximálne jednu osobu za uchádzača pri otváraní ponúk, zároveň budú zabezpečené dostatočne veľké</w:t>
            </w:r>
            <w:bookmarkStart w:id="0" w:name="_GoBack"/>
            <w:bookmarkEnd w:id="0"/>
            <w:r>
              <w:rPr>
                <w:rFonts w:ascii="CIDFont+F1" w:hAnsi="CIDFont+F1" w:cs="CIDFont+F1"/>
                <w:sz w:val="20"/>
                <w:szCs w:val="20"/>
              </w:rPr>
              <w:t xml:space="preserve"> odvetrané priestory a rozstupy medzi účastníkmi. </w:t>
            </w:r>
          </w:p>
        </w:tc>
      </w:tr>
    </w:tbl>
    <w:p w14:paraId="57F26298" w14:textId="77777777" w:rsidR="00954A9B" w:rsidRPr="00497141" w:rsidRDefault="00954A9B"/>
    <w:sectPr w:rsidR="00954A9B" w:rsidRPr="00497141" w:rsidSect="008123F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149E" w14:textId="77777777" w:rsidR="000A2FE0" w:rsidRDefault="000A2FE0" w:rsidP="00E601C9">
      <w:pPr>
        <w:spacing w:after="0" w:line="240" w:lineRule="auto"/>
      </w:pPr>
      <w:r>
        <w:separator/>
      </w:r>
    </w:p>
  </w:endnote>
  <w:endnote w:type="continuationSeparator" w:id="0">
    <w:p w14:paraId="56319199" w14:textId="77777777" w:rsidR="000A2FE0" w:rsidRDefault="000A2FE0" w:rsidP="00E6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Times New Roman"/>
    <w:charset w:val="EE"/>
    <w:family w:val="swiss"/>
    <w:pitch w:val="variable"/>
    <w:sig w:usb0="00000000"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IDFont+F1">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9947" w14:textId="77777777" w:rsidR="000A2FE0" w:rsidRDefault="000A2FE0" w:rsidP="00E601C9">
      <w:pPr>
        <w:spacing w:after="0" w:line="240" w:lineRule="auto"/>
      </w:pPr>
      <w:r>
        <w:separator/>
      </w:r>
    </w:p>
  </w:footnote>
  <w:footnote w:type="continuationSeparator" w:id="0">
    <w:p w14:paraId="1AE2C7F1" w14:textId="77777777" w:rsidR="000A2FE0" w:rsidRDefault="000A2FE0" w:rsidP="00E60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3C40"/>
    <w:multiLevelType w:val="multilevel"/>
    <w:tmpl w:val="35C8B6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A5A4297"/>
    <w:multiLevelType w:val="hybridMultilevel"/>
    <w:tmpl w:val="186AF4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FB31A2"/>
    <w:multiLevelType w:val="hybridMultilevel"/>
    <w:tmpl w:val="C4800010"/>
    <w:lvl w:ilvl="0" w:tplc="041B000F">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 w15:restartNumberingAfterBreak="0">
    <w:nsid w:val="254A4722"/>
    <w:multiLevelType w:val="multilevel"/>
    <w:tmpl w:val="586EDA3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5517DD"/>
    <w:multiLevelType w:val="hybridMultilevel"/>
    <w:tmpl w:val="3738B5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502A2660"/>
    <w:multiLevelType w:val="hybridMultilevel"/>
    <w:tmpl w:val="E1E6C2CA"/>
    <w:lvl w:ilvl="0" w:tplc="2F08C682">
      <w:start w:val="1"/>
      <w:numFmt w:val="bullet"/>
      <w:lvlText w:val="-"/>
      <w:lvlJc w:val="left"/>
      <w:pPr>
        <w:ind w:left="786" w:hanging="360"/>
      </w:pPr>
      <w:rPr>
        <w:rFonts w:ascii="Arial" w:eastAsia="Times New Roman" w:hAnsi="Arial" w:cs="Aria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7" w15:restartNumberingAfterBreak="0">
    <w:nsid w:val="51600743"/>
    <w:multiLevelType w:val="hybridMultilevel"/>
    <w:tmpl w:val="4B2E7BFA"/>
    <w:lvl w:ilvl="0" w:tplc="CFA220E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3970771"/>
    <w:multiLevelType w:val="hybridMultilevel"/>
    <w:tmpl w:val="186AF4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1387C17"/>
    <w:multiLevelType w:val="multilevel"/>
    <w:tmpl w:val="35C8B6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61874645"/>
    <w:multiLevelType w:val="hybridMultilevel"/>
    <w:tmpl w:val="9A10F2F0"/>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3D76886"/>
    <w:multiLevelType w:val="hybridMultilevel"/>
    <w:tmpl w:val="69881F82"/>
    <w:lvl w:ilvl="0" w:tplc="048262DE">
      <w:start w:val="2"/>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6A2D079A"/>
    <w:multiLevelType w:val="hybridMultilevel"/>
    <w:tmpl w:val="7460140C"/>
    <w:numStyleLink w:val="Importovantl1"/>
  </w:abstractNum>
  <w:abstractNum w:abstractNumId="13" w15:restartNumberingAfterBreak="0">
    <w:nsid w:val="721A17A2"/>
    <w:multiLevelType w:val="hybridMultilevel"/>
    <w:tmpl w:val="18527A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3246ABC"/>
    <w:multiLevelType w:val="hybridMultilevel"/>
    <w:tmpl w:val="14AEA9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DC1092"/>
    <w:multiLevelType w:val="hybridMultilevel"/>
    <w:tmpl w:val="15ACC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E45493"/>
    <w:multiLevelType w:val="hybridMultilevel"/>
    <w:tmpl w:val="BFEA0558"/>
    <w:lvl w:ilvl="0" w:tplc="DEDA04A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79AE64A2"/>
    <w:multiLevelType w:val="hybridMultilevel"/>
    <w:tmpl w:val="0C06C25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8" w15:restartNumberingAfterBreak="0">
    <w:nsid w:val="7D4876F0"/>
    <w:multiLevelType w:val="hybridMultilevel"/>
    <w:tmpl w:val="C98801B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9"/>
  </w:num>
  <w:num w:numId="17">
    <w:abstractNumId w:val="15"/>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F4"/>
    <w:rsid w:val="00010AF4"/>
    <w:rsid w:val="00020AAE"/>
    <w:rsid w:val="00022E16"/>
    <w:rsid w:val="00023AEA"/>
    <w:rsid w:val="00036B2A"/>
    <w:rsid w:val="000515F3"/>
    <w:rsid w:val="000608F7"/>
    <w:rsid w:val="000A04D4"/>
    <w:rsid w:val="000A2FE0"/>
    <w:rsid w:val="000A4A5E"/>
    <w:rsid w:val="000A611E"/>
    <w:rsid w:val="000B0EAB"/>
    <w:rsid w:val="000B27DB"/>
    <w:rsid w:val="000C250D"/>
    <w:rsid w:val="000E7A4F"/>
    <w:rsid w:val="00104BBA"/>
    <w:rsid w:val="001072F0"/>
    <w:rsid w:val="0013453C"/>
    <w:rsid w:val="001523E2"/>
    <w:rsid w:val="001572F8"/>
    <w:rsid w:val="00173BD6"/>
    <w:rsid w:val="0017691B"/>
    <w:rsid w:val="001877F9"/>
    <w:rsid w:val="001B2171"/>
    <w:rsid w:val="001B6D6A"/>
    <w:rsid w:val="001C2D33"/>
    <w:rsid w:val="001F07FA"/>
    <w:rsid w:val="001F6697"/>
    <w:rsid w:val="001F75D3"/>
    <w:rsid w:val="00200CC0"/>
    <w:rsid w:val="00221D3D"/>
    <w:rsid w:val="00237305"/>
    <w:rsid w:val="00254042"/>
    <w:rsid w:val="002857BD"/>
    <w:rsid w:val="002931C6"/>
    <w:rsid w:val="00296F09"/>
    <w:rsid w:val="002A4A69"/>
    <w:rsid w:val="002A6DB3"/>
    <w:rsid w:val="002B3D2A"/>
    <w:rsid w:val="002C0866"/>
    <w:rsid w:val="002C21DB"/>
    <w:rsid w:val="002E2C01"/>
    <w:rsid w:val="002E5CA1"/>
    <w:rsid w:val="002F6E34"/>
    <w:rsid w:val="00317C2F"/>
    <w:rsid w:val="00321ECB"/>
    <w:rsid w:val="00355453"/>
    <w:rsid w:val="00362A12"/>
    <w:rsid w:val="00365179"/>
    <w:rsid w:val="00390E57"/>
    <w:rsid w:val="003A3F12"/>
    <w:rsid w:val="003B2C5B"/>
    <w:rsid w:val="003D72E7"/>
    <w:rsid w:val="003E3F9D"/>
    <w:rsid w:val="003E7364"/>
    <w:rsid w:val="003E7DBE"/>
    <w:rsid w:val="003F5172"/>
    <w:rsid w:val="0042747F"/>
    <w:rsid w:val="00454D19"/>
    <w:rsid w:val="00456564"/>
    <w:rsid w:val="00497141"/>
    <w:rsid w:val="004A0DBD"/>
    <w:rsid w:val="004B0BE3"/>
    <w:rsid w:val="004C2B9C"/>
    <w:rsid w:val="005211A8"/>
    <w:rsid w:val="005341F3"/>
    <w:rsid w:val="00536CF6"/>
    <w:rsid w:val="0054195B"/>
    <w:rsid w:val="00555285"/>
    <w:rsid w:val="005851BE"/>
    <w:rsid w:val="00585CFE"/>
    <w:rsid w:val="005936DB"/>
    <w:rsid w:val="005B2EA9"/>
    <w:rsid w:val="005D39BC"/>
    <w:rsid w:val="005E2672"/>
    <w:rsid w:val="00610EC9"/>
    <w:rsid w:val="00624FB4"/>
    <w:rsid w:val="0062758B"/>
    <w:rsid w:val="00627AA9"/>
    <w:rsid w:val="00633CFF"/>
    <w:rsid w:val="00640C26"/>
    <w:rsid w:val="00672014"/>
    <w:rsid w:val="00677C37"/>
    <w:rsid w:val="00691577"/>
    <w:rsid w:val="00693893"/>
    <w:rsid w:val="006A0F65"/>
    <w:rsid w:val="006A6CEE"/>
    <w:rsid w:val="006B097D"/>
    <w:rsid w:val="006B3896"/>
    <w:rsid w:val="006B48F7"/>
    <w:rsid w:val="00704D7B"/>
    <w:rsid w:val="00715352"/>
    <w:rsid w:val="00727D1C"/>
    <w:rsid w:val="00734464"/>
    <w:rsid w:val="007501A1"/>
    <w:rsid w:val="00766868"/>
    <w:rsid w:val="007753E2"/>
    <w:rsid w:val="00781EBD"/>
    <w:rsid w:val="00792F64"/>
    <w:rsid w:val="007A6A18"/>
    <w:rsid w:val="007B2997"/>
    <w:rsid w:val="007C305E"/>
    <w:rsid w:val="007D1410"/>
    <w:rsid w:val="007E067E"/>
    <w:rsid w:val="007E3639"/>
    <w:rsid w:val="007E798D"/>
    <w:rsid w:val="008123F5"/>
    <w:rsid w:val="008575AD"/>
    <w:rsid w:val="0086212C"/>
    <w:rsid w:val="00893259"/>
    <w:rsid w:val="008B2E09"/>
    <w:rsid w:val="008B3486"/>
    <w:rsid w:val="008B34CC"/>
    <w:rsid w:val="008C4DCD"/>
    <w:rsid w:val="008E46B0"/>
    <w:rsid w:val="00902717"/>
    <w:rsid w:val="00932CC8"/>
    <w:rsid w:val="00950760"/>
    <w:rsid w:val="00954A9B"/>
    <w:rsid w:val="0096182E"/>
    <w:rsid w:val="00965577"/>
    <w:rsid w:val="009753FA"/>
    <w:rsid w:val="009764CF"/>
    <w:rsid w:val="00984448"/>
    <w:rsid w:val="009B7203"/>
    <w:rsid w:val="009D5E87"/>
    <w:rsid w:val="00A179FA"/>
    <w:rsid w:val="00A202A9"/>
    <w:rsid w:val="00A20DA9"/>
    <w:rsid w:val="00A24955"/>
    <w:rsid w:val="00A3142F"/>
    <w:rsid w:val="00A34DB0"/>
    <w:rsid w:val="00A41BD2"/>
    <w:rsid w:val="00A44AEC"/>
    <w:rsid w:val="00A54C1B"/>
    <w:rsid w:val="00A6036A"/>
    <w:rsid w:val="00A76A38"/>
    <w:rsid w:val="00A77F22"/>
    <w:rsid w:val="00AA3240"/>
    <w:rsid w:val="00AA6998"/>
    <w:rsid w:val="00AA6BAE"/>
    <w:rsid w:val="00AA7751"/>
    <w:rsid w:val="00AD6ADA"/>
    <w:rsid w:val="00AE1CB4"/>
    <w:rsid w:val="00AE4E70"/>
    <w:rsid w:val="00AF40E1"/>
    <w:rsid w:val="00B0251A"/>
    <w:rsid w:val="00B26DC2"/>
    <w:rsid w:val="00B2720F"/>
    <w:rsid w:val="00B27ADF"/>
    <w:rsid w:val="00B93251"/>
    <w:rsid w:val="00BC5415"/>
    <w:rsid w:val="00BD3A61"/>
    <w:rsid w:val="00C23407"/>
    <w:rsid w:val="00C514F1"/>
    <w:rsid w:val="00C51774"/>
    <w:rsid w:val="00C538F3"/>
    <w:rsid w:val="00C65AEC"/>
    <w:rsid w:val="00C67A31"/>
    <w:rsid w:val="00C75DB3"/>
    <w:rsid w:val="00CB3F94"/>
    <w:rsid w:val="00CD01DE"/>
    <w:rsid w:val="00CD1F3D"/>
    <w:rsid w:val="00CD5208"/>
    <w:rsid w:val="00CF0AA0"/>
    <w:rsid w:val="00D00EC9"/>
    <w:rsid w:val="00D0604E"/>
    <w:rsid w:val="00D17848"/>
    <w:rsid w:val="00D22505"/>
    <w:rsid w:val="00D22989"/>
    <w:rsid w:val="00D40EC0"/>
    <w:rsid w:val="00D46724"/>
    <w:rsid w:val="00D92D50"/>
    <w:rsid w:val="00D945B4"/>
    <w:rsid w:val="00DA569F"/>
    <w:rsid w:val="00DE49A2"/>
    <w:rsid w:val="00DF37E6"/>
    <w:rsid w:val="00E01734"/>
    <w:rsid w:val="00E3113B"/>
    <w:rsid w:val="00E41DC0"/>
    <w:rsid w:val="00E601C9"/>
    <w:rsid w:val="00E630DA"/>
    <w:rsid w:val="00E80299"/>
    <w:rsid w:val="00EA3073"/>
    <w:rsid w:val="00EA594B"/>
    <w:rsid w:val="00EC18B3"/>
    <w:rsid w:val="00EE3DAB"/>
    <w:rsid w:val="00EF3C03"/>
    <w:rsid w:val="00EF6637"/>
    <w:rsid w:val="00F02AC6"/>
    <w:rsid w:val="00F067B6"/>
    <w:rsid w:val="00F41639"/>
    <w:rsid w:val="00F44194"/>
    <w:rsid w:val="00F56DB4"/>
    <w:rsid w:val="00F60CA7"/>
    <w:rsid w:val="00FB6A1D"/>
    <w:rsid w:val="00FC51FD"/>
    <w:rsid w:val="00FF5B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C924"/>
  <w15:chartTrackingRefBased/>
  <w15:docId w15:val="{955B645A-438D-48CF-94AF-380CD198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5D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D46724"/>
    <w:pPr>
      <w:spacing w:after="0" w:line="240" w:lineRule="auto"/>
      <w:ind w:left="720"/>
      <w:contextualSpacing/>
    </w:pPr>
    <w:rPr>
      <w:rFonts w:ascii="Times New Roman" w:eastAsia="Times New Roman" w:hAnsi="Times New Roman" w:cs="Times New Roman"/>
      <w:sz w:val="24"/>
      <w:szCs w:val="24"/>
      <w:lang w:eastAsia="sk-SK"/>
    </w:rPr>
  </w:style>
  <w:style w:type="numbering" w:customStyle="1" w:styleId="Importovantl1">
    <w:name w:val="Importovaný štýl 1"/>
    <w:rsid w:val="002F6E34"/>
    <w:pPr>
      <w:numPr>
        <w:numId w:val="5"/>
      </w:numPr>
    </w:pPr>
  </w:style>
  <w:style w:type="paragraph" w:styleId="Obyajntext">
    <w:name w:val="Plain Text"/>
    <w:basedOn w:val="Normlny"/>
    <w:link w:val="ObyajntextChar"/>
    <w:uiPriority w:val="99"/>
    <w:unhideWhenUsed/>
    <w:rsid w:val="001072F0"/>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1072F0"/>
    <w:rPr>
      <w:rFonts w:ascii="Calibri" w:hAnsi="Calibri"/>
      <w:szCs w:val="21"/>
    </w:rPr>
  </w:style>
  <w:style w:type="paragraph" w:styleId="Hlavika">
    <w:name w:val="header"/>
    <w:basedOn w:val="Normlny"/>
    <w:link w:val="HlavikaChar"/>
    <w:uiPriority w:val="99"/>
    <w:unhideWhenUsed/>
    <w:rsid w:val="00E601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601C9"/>
  </w:style>
  <w:style w:type="paragraph" w:styleId="Pta">
    <w:name w:val="footer"/>
    <w:basedOn w:val="Normlny"/>
    <w:link w:val="PtaChar"/>
    <w:uiPriority w:val="99"/>
    <w:unhideWhenUsed/>
    <w:rsid w:val="00E601C9"/>
    <w:pPr>
      <w:tabs>
        <w:tab w:val="center" w:pos="4536"/>
        <w:tab w:val="right" w:pos="9072"/>
      </w:tabs>
      <w:spacing w:after="0" w:line="240" w:lineRule="auto"/>
    </w:pPr>
  </w:style>
  <w:style w:type="character" w:customStyle="1" w:styleId="PtaChar">
    <w:name w:val="Päta Char"/>
    <w:basedOn w:val="Predvolenpsmoodseku"/>
    <w:link w:val="Pta"/>
    <w:uiPriority w:val="99"/>
    <w:rsid w:val="00E601C9"/>
  </w:style>
  <w:style w:type="character" w:customStyle="1" w:styleId="OdsekzoznamuChar">
    <w:name w:val="Odsek zoznamu Char"/>
    <w:link w:val="Odsekzoznamu"/>
    <w:uiPriority w:val="34"/>
    <w:locked/>
    <w:rsid w:val="007B2997"/>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7B2997"/>
    <w:rPr>
      <w:color w:val="0563C1" w:themeColor="hyperlink"/>
      <w:u w:val="single"/>
    </w:rPr>
  </w:style>
  <w:style w:type="paragraph" w:styleId="Normlnywebov">
    <w:name w:val="Normal (Web)"/>
    <w:basedOn w:val="Normlny"/>
    <w:uiPriority w:val="99"/>
    <w:semiHidden/>
    <w:unhideWhenUsed/>
    <w:rsid w:val="000515F3"/>
    <w:pPr>
      <w:spacing w:after="0" w:line="240" w:lineRule="auto"/>
    </w:pPr>
    <w:rPr>
      <w:rFonts w:ascii="Times New Roman" w:hAnsi="Times New Roman" w:cs="Times New Roman"/>
      <w:sz w:val="24"/>
      <w:szCs w:val="24"/>
      <w:lang w:eastAsia="sk-SK"/>
    </w:rPr>
  </w:style>
  <w:style w:type="character" w:styleId="Odkaznakomentr">
    <w:name w:val="annotation reference"/>
    <w:basedOn w:val="Predvolenpsmoodseku"/>
    <w:semiHidden/>
    <w:rsid w:val="00AA3240"/>
    <w:rPr>
      <w:sz w:val="16"/>
      <w:szCs w:val="16"/>
    </w:rPr>
  </w:style>
  <w:style w:type="paragraph" w:styleId="Textkomentra">
    <w:name w:val="annotation text"/>
    <w:basedOn w:val="Normlny"/>
    <w:link w:val="TextkomentraChar"/>
    <w:semiHidden/>
    <w:rsid w:val="00AA3240"/>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semiHidden/>
    <w:rsid w:val="00AA324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AA324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3240"/>
    <w:rPr>
      <w:rFonts w:ascii="Segoe UI" w:hAnsi="Segoe UI" w:cs="Segoe UI"/>
      <w:sz w:val="18"/>
      <w:szCs w:val="18"/>
    </w:rPr>
  </w:style>
  <w:style w:type="paragraph" w:customStyle="1" w:styleId="para1">
    <w:name w:val="para 1"/>
    <w:basedOn w:val="Normlny"/>
    <w:rsid w:val="006B48F7"/>
    <w:pPr>
      <w:tabs>
        <w:tab w:val="left" w:pos="425"/>
        <w:tab w:val="left" w:pos="851"/>
      </w:tabs>
      <w:spacing w:before="120" w:after="0" w:line="280" w:lineRule="exact"/>
      <w:ind w:left="822" w:hanging="822"/>
      <w:jc w:val="both"/>
    </w:pPr>
    <w:rPr>
      <w:rFonts w:ascii="Arial" w:eastAsia="Times New Roman" w:hAnsi="Arial" w:cs="Times New Roman"/>
      <w:szCs w:val="20"/>
      <w:lang w:eastAsia="sk-SK"/>
    </w:rPr>
  </w:style>
  <w:style w:type="paragraph" w:customStyle="1" w:styleId="Styl">
    <w:name w:val="Styl"/>
    <w:link w:val="StylChar2"/>
    <w:rsid w:val="006B48F7"/>
    <w:pPr>
      <w:tabs>
        <w:tab w:val="left" w:pos="709"/>
      </w:tabs>
      <w:spacing w:before="120" w:after="0" w:line="240" w:lineRule="auto"/>
      <w:jc w:val="both"/>
    </w:pPr>
    <w:rPr>
      <w:rFonts w:ascii="Arial" w:eastAsia="Times New Roman" w:hAnsi="Arial" w:cs="Arial"/>
      <w:sz w:val="20"/>
      <w:szCs w:val="20"/>
      <w:lang w:eastAsia="sk-SK"/>
    </w:rPr>
  </w:style>
  <w:style w:type="character" w:customStyle="1" w:styleId="StylChar2">
    <w:name w:val="Styl Char2"/>
    <w:basedOn w:val="Predvolenpsmoodseku"/>
    <w:link w:val="Styl"/>
    <w:rsid w:val="006B48F7"/>
    <w:rPr>
      <w:rFonts w:ascii="Arial" w:eastAsia="Times New Roman" w:hAnsi="Arial" w:cs="Arial"/>
      <w:sz w:val="20"/>
      <w:szCs w:val="20"/>
      <w:lang w:eastAsia="sk-SK"/>
    </w:rPr>
  </w:style>
  <w:style w:type="paragraph" w:customStyle="1" w:styleId="Default">
    <w:name w:val="Default"/>
    <w:rsid w:val="006B48F7"/>
    <w:pPr>
      <w:autoSpaceDE w:val="0"/>
      <w:autoSpaceDN w:val="0"/>
      <w:adjustRightInd w:val="0"/>
      <w:spacing w:after="0" w:line="240" w:lineRule="auto"/>
    </w:pPr>
    <w:rPr>
      <w:rFonts w:ascii="Liberation Sans" w:eastAsia="Calibri" w:hAnsi="Liberation Sans" w:cs="Liberation Sans"/>
      <w:color w:val="000000"/>
      <w:sz w:val="24"/>
      <w:szCs w:val="24"/>
    </w:rPr>
  </w:style>
  <w:style w:type="paragraph" w:customStyle="1" w:styleId="gmail-m1794213582363222814msolistparagraph">
    <w:name w:val="gmail-m_1794213582363222814msolistparagraph"/>
    <w:basedOn w:val="Normlny"/>
    <w:rsid w:val="00E630DA"/>
    <w:pPr>
      <w:spacing w:before="100" w:beforeAutospacing="1" w:after="100" w:afterAutospacing="1" w:line="240" w:lineRule="auto"/>
    </w:pPr>
    <w:rPr>
      <w:rFonts w:ascii="Calibri" w:hAnsi="Calibri" w:cs="Calibri"/>
      <w:lang w:eastAsia="sk-SK"/>
    </w:rPr>
  </w:style>
  <w:style w:type="paragraph" w:styleId="Predmetkomentra">
    <w:name w:val="annotation subject"/>
    <w:basedOn w:val="Textkomentra"/>
    <w:next w:val="Textkomentra"/>
    <w:link w:val="PredmetkomentraChar"/>
    <w:uiPriority w:val="99"/>
    <w:semiHidden/>
    <w:unhideWhenUsed/>
    <w:rsid w:val="00555285"/>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555285"/>
    <w:rPr>
      <w:rFonts w:ascii="Times New Roman" w:eastAsia="Times New Roman" w:hAnsi="Times New Roman" w:cs="Times New Roman"/>
      <w:b/>
      <w:bCs/>
      <w:sz w:val="20"/>
      <w:szCs w:val="20"/>
      <w:lang w:eastAsia="sk-SK"/>
    </w:rPr>
  </w:style>
  <w:style w:type="character" w:customStyle="1" w:styleId="Zkladntext2">
    <w:name w:val="Základný text (2)_"/>
    <w:basedOn w:val="Predvolenpsmoodseku"/>
    <w:link w:val="Zkladntext20"/>
    <w:rsid w:val="00A24955"/>
    <w:rPr>
      <w:rFonts w:ascii="Times New Roman" w:eastAsia="Times New Roman" w:hAnsi="Times New Roman" w:cs="Times New Roman"/>
      <w:shd w:val="clear" w:color="auto" w:fill="FFFFFF"/>
    </w:rPr>
  </w:style>
  <w:style w:type="character" w:customStyle="1" w:styleId="Zkladntext2Tun">
    <w:name w:val="Základný text (2) + Tučné"/>
    <w:basedOn w:val="Zkladntext2"/>
    <w:rsid w:val="00A24955"/>
    <w:rPr>
      <w:rFonts w:ascii="Times New Roman" w:eastAsia="Times New Roman" w:hAnsi="Times New Roman" w:cs="Times New Roman"/>
      <w:b/>
      <w:bCs/>
      <w:color w:val="000000"/>
      <w:spacing w:val="0"/>
      <w:w w:val="100"/>
      <w:position w:val="0"/>
      <w:sz w:val="24"/>
      <w:szCs w:val="24"/>
      <w:shd w:val="clear" w:color="auto" w:fill="FFFFFF"/>
      <w:lang w:val="sk-SK" w:eastAsia="sk-SK" w:bidi="sk-SK"/>
    </w:rPr>
  </w:style>
  <w:style w:type="paragraph" w:customStyle="1" w:styleId="Zkladntext20">
    <w:name w:val="Základný text (2)"/>
    <w:basedOn w:val="Normlny"/>
    <w:link w:val="Zkladntext2"/>
    <w:rsid w:val="00A24955"/>
    <w:pPr>
      <w:widowControl w:val="0"/>
      <w:shd w:val="clear" w:color="auto" w:fill="FFFFFF"/>
      <w:spacing w:after="240" w:line="274" w:lineRule="exact"/>
      <w:ind w:hanging="36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8925">
      <w:bodyDiv w:val="1"/>
      <w:marLeft w:val="0"/>
      <w:marRight w:val="0"/>
      <w:marTop w:val="0"/>
      <w:marBottom w:val="0"/>
      <w:divBdr>
        <w:top w:val="none" w:sz="0" w:space="0" w:color="auto"/>
        <w:left w:val="none" w:sz="0" w:space="0" w:color="auto"/>
        <w:bottom w:val="none" w:sz="0" w:space="0" w:color="auto"/>
        <w:right w:val="none" w:sz="0" w:space="0" w:color="auto"/>
      </w:divBdr>
    </w:div>
    <w:div w:id="235097556">
      <w:bodyDiv w:val="1"/>
      <w:marLeft w:val="0"/>
      <w:marRight w:val="0"/>
      <w:marTop w:val="0"/>
      <w:marBottom w:val="0"/>
      <w:divBdr>
        <w:top w:val="none" w:sz="0" w:space="0" w:color="auto"/>
        <w:left w:val="none" w:sz="0" w:space="0" w:color="auto"/>
        <w:bottom w:val="none" w:sz="0" w:space="0" w:color="auto"/>
        <w:right w:val="none" w:sz="0" w:space="0" w:color="auto"/>
      </w:divBdr>
    </w:div>
    <w:div w:id="263222798">
      <w:bodyDiv w:val="1"/>
      <w:marLeft w:val="0"/>
      <w:marRight w:val="0"/>
      <w:marTop w:val="0"/>
      <w:marBottom w:val="0"/>
      <w:divBdr>
        <w:top w:val="none" w:sz="0" w:space="0" w:color="auto"/>
        <w:left w:val="none" w:sz="0" w:space="0" w:color="auto"/>
        <w:bottom w:val="none" w:sz="0" w:space="0" w:color="auto"/>
        <w:right w:val="none" w:sz="0" w:space="0" w:color="auto"/>
      </w:divBdr>
    </w:div>
    <w:div w:id="272594206">
      <w:bodyDiv w:val="1"/>
      <w:marLeft w:val="0"/>
      <w:marRight w:val="0"/>
      <w:marTop w:val="0"/>
      <w:marBottom w:val="0"/>
      <w:divBdr>
        <w:top w:val="none" w:sz="0" w:space="0" w:color="auto"/>
        <w:left w:val="none" w:sz="0" w:space="0" w:color="auto"/>
        <w:bottom w:val="none" w:sz="0" w:space="0" w:color="auto"/>
        <w:right w:val="none" w:sz="0" w:space="0" w:color="auto"/>
      </w:divBdr>
    </w:div>
    <w:div w:id="355276380">
      <w:bodyDiv w:val="1"/>
      <w:marLeft w:val="0"/>
      <w:marRight w:val="0"/>
      <w:marTop w:val="0"/>
      <w:marBottom w:val="0"/>
      <w:divBdr>
        <w:top w:val="none" w:sz="0" w:space="0" w:color="auto"/>
        <w:left w:val="none" w:sz="0" w:space="0" w:color="auto"/>
        <w:bottom w:val="none" w:sz="0" w:space="0" w:color="auto"/>
        <w:right w:val="none" w:sz="0" w:space="0" w:color="auto"/>
      </w:divBdr>
    </w:div>
    <w:div w:id="387802493">
      <w:bodyDiv w:val="1"/>
      <w:marLeft w:val="0"/>
      <w:marRight w:val="0"/>
      <w:marTop w:val="0"/>
      <w:marBottom w:val="0"/>
      <w:divBdr>
        <w:top w:val="none" w:sz="0" w:space="0" w:color="auto"/>
        <w:left w:val="none" w:sz="0" w:space="0" w:color="auto"/>
        <w:bottom w:val="none" w:sz="0" w:space="0" w:color="auto"/>
        <w:right w:val="none" w:sz="0" w:space="0" w:color="auto"/>
      </w:divBdr>
    </w:div>
    <w:div w:id="409549510">
      <w:bodyDiv w:val="1"/>
      <w:marLeft w:val="0"/>
      <w:marRight w:val="0"/>
      <w:marTop w:val="0"/>
      <w:marBottom w:val="0"/>
      <w:divBdr>
        <w:top w:val="none" w:sz="0" w:space="0" w:color="auto"/>
        <w:left w:val="none" w:sz="0" w:space="0" w:color="auto"/>
        <w:bottom w:val="none" w:sz="0" w:space="0" w:color="auto"/>
        <w:right w:val="none" w:sz="0" w:space="0" w:color="auto"/>
      </w:divBdr>
    </w:div>
    <w:div w:id="432554050">
      <w:bodyDiv w:val="1"/>
      <w:marLeft w:val="0"/>
      <w:marRight w:val="0"/>
      <w:marTop w:val="0"/>
      <w:marBottom w:val="0"/>
      <w:divBdr>
        <w:top w:val="none" w:sz="0" w:space="0" w:color="auto"/>
        <w:left w:val="none" w:sz="0" w:space="0" w:color="auto"/>
        <w:bottom w:val="none" w:sz="0" w:space="0" w:color="auto"/>
        <w:right w:val="none" w:sz="0" w:space="0" w:color="auto"/>
      </w:divBdr>
    </w:div>
    <w:div w:id="437221563">
      <w:bodyDiv w:val="1"/>
      <w:marLeft w:val="0"/>
      <w:marRight w:val="0"/>
      <w:marTop w:val="0"/>
      <w:marBottom w:val="0"/>
      <w:divBdr>
        <w:top w:val="none" w:sz="0" w:space="0" w:color="auto"/>
        <w:left w:val="none" w:sz="0" w:space="0" w:color="auto"/>
        <w:bottom w:val="none" w:sz="0" w:space="0" w:color="auto"/>
        <w:right w:val="none" w:sz="0" w:space="0" w:color="auto"/>
      </w:divBdr>
    </w:div>
    <w:div w:id="450133808">
      <w:bodyDiv w:val="1"/>
      <w:marLeft w:val="0"/>
      <w:marRight w:val="0"/>
      <w:marTop w:val="0"/>
      <w:marBottom w:val="0"/>
      <w:divBdr>
        <w:top w:val="none" w:sz="0" w:space="0" w:color="auto"/>
        <w:left w:val="none" w:sz="0" w:space="0" w:color="auto"/>
        <w:bottom w:val="none" w:sz="0" w:space="0" w:color="auto"/>
        <w:right w:val="none" w:sz="0" w:space="0" w:color="auto"/>
      </w:divBdr>
    </w:div>
    <w:div w:id="489252659">
      <w:bodyDiv w:val="1"/>
      <w:marLeft w:val="0"/>
      <w:marRight w:val="0"/>
      <w:marTop w:val="0"/>
      <w:marBottom w:val="0"/>
      <w:divBdr>
        <w:top w:val="none" w:sz="0" w:space="0" w:color="auto"/>
        <w:left w:val="none" w:sz="0" w:space="0" w:color="auto"/>
        <w:bottom w:val="none" w:sz="0" w:space="0" w:color="auto"/>
        <w:right w:val="none" w:sz="0" w:space="0" w:color="auto"/>
      </w:divBdr>
    </w:div>
    <w:div w:id="536703150">
      <w:bodyDiv w:val="1"/>
      <w:marLeft w:val="0"/>
      <w:marRight w:val="0"/>
      <w:marTop w:val="0"/>
      <w:marBottom w:val="0"/>
      <w:divBdr>
        <w:top w:val="none" w:sz="0" w:space="0" w:color="auto"/>
        <w:left w:val="none" w:sz="0" w:space="0" w:color="auto"/>
        <w:bottom w:val="none" w:sz="0" w:space="0" w:color="auto"/>
        <w:right w:val="none" w:sz="0" w:space="0" w:color="auto"/>
      </w:divBdr>
    </w:div>
    <w:div w:id="563831109">
      <w:bodyDiv w:val="1"/>
      <w:marLeft w:val="0"/>
      <w:marRight w:val="0"/>
      <w:marTop w:val="0"/>
      <w:marBottom w:val="0"/>
      <w:divBdr>
        <w:top w:val="none" w:sz="0" w:space="0" w:color="auto"/>
        <w:left w:val="none" w:sz="0" w:space="0" w:color="auto"/>
        <w:bottom w:val="none" w:sz="0" w:space="0" w:color="auto"/>
        <w:right w:val="none" w:sz="0" w:space="0" w:color="auto"/>
      </w:divBdr>
    </w:div>
    <w:div w:id="621230170">
      <w:bodyDiv w:val="1"/>
      <w:marLeft w:val="0"/>
      <w:marRight w:val="0"/>
      <w:marTop w:val="0"/>
      <w:marBottom w:val="0"/>
      <w:divBdr>
        <w:top w:val="none" w:sz="0" w:space="0" w:color="auto"/>
        <w:left w:val="none" w:sz="0" w:space="0" w:color="auto"/>
        <w:bottom w:val="none" w:sz="0" w:space="0" w:color="auto"/>
        <w:right w:val="none" w:sz="0" w:space="0" w:color="auto"/>
      </w:divBdr>
    </w:div>
    <w:div w:id="628098398">
      <w:bodyDiv w:val="1"/>
      <w:marLeft w:val="0"/>
      <w:marRight w:val="0"/>
      <w:marTop w:val="0"/>
      <w:marBottom w:val="0"/>
      <w:divBdr>
        <w:top w:val="none" w:sz="0" w:space="0" w:color="auto"/>
        <w:left w:val="none" w:sz="0" w:space="0" w:color="auto"/>
        <w:bottom w:val="none" w:sz="0" w:space="0" w:color="auto"/>
        <w:right w:val="none" w:sz="0" w:space="0" w:color="auto"/>
      </w:divBdr>
    </w:div>
    <w:div w:id="648561918">
      <w:bodyDiv w:val="1"/>
      <w:marLeft w:val="0"/>
      <w:marRight w:val="0"/>
      <w:marTop w:val="0"/>
      <w:marBottom w:val="0"/>
      <w:divBdr>
        <w:top w:val="none" w:sz="0" w:space="0" w:color="auto"/>
        <w:left w:val="none" w:sz="0" w:space="0" w:color="auto"/>
        <w:bottom w:val="none" w:sz="0" w:space="0" w:color="auto"/>
        <w:right w:val="none" w:sz="0" w:space="0" w:color="auto"/>
      </w:divBdr>
    </w:div>
    <w:div w:id="726759044">
      <w:bodyDiv w:val="1"/>
      <w:marLeft w:val="0"/>
      <w:marRight w:val="0"/>
      <w:marTop w:val="0"/>
      <w:marBottom w:val="0"/>
      <w:divBdr>
        <w:top w:val="none" w:sz="0" w:space="0" w:color="auto"/>
        <w:left w:val="none" w:sz="0" w:space="0" w:color="auto"/>
        <w:bottom w:val="none" w:sz="0" w:space="0" w:color="auto"/>
        <w:right w:val="none" w:sz="0" w:space="0" w:color="auto"/>
      </w:divBdr>
    </w:div>
    <w:div w:id="807432533">
      <w:bodyDiv w:val="1"/>
      <w:marLeft w:val="0"/>
      <w:marRight w:val="0"/>
      <w:marTop w:val="0"/>
      <w:marBottom w:val="0"/>
      <w:divBdr>
        <w:top w:val="none" w:sz="0" w:space="0" w:color="auto"/>
        <w:left w:val="none" w:sz="0" w:space="0" w:color="auto"/>
        <w:bottom w:val="none" w:sz="0" w:space="0" w:color="auto"/>
        <w:right w:val="none" w:sz="0" w:space="0" w:color="auto"/>
      </w:divBdr>
    </w:div>
    <w:div w:id="830873182">
      <w:bodyDiv w:val="1"/>
      <w:marLeft w:val="0"/>
      <w:marRight w:val="0"/>
      <w:marTop w:val="0"/>
      <w:marBottom w:val="0"/>
      <w:divBdr>
        <w:top w:val="none" w:sz="0" w:space="0" w:color="auto"/>
        <w:left w:val="none" w:sz="0" w:space="0" w:color="auto"/>
        <w:bottom w:val="none" w:sz="0" w:space="0" w:color="auto"/>
        <w:right w:val="none" w:sz="0" w:space="0" w:color="auto"/>
      </w:divBdr>
    </w:div>
    <w:div w:id="855927719">
      <w:bodyDiv w:val="1"/>
      <w:marLeft w:val="0"/>
      <w:marRight w:val="0"/>
      <w:marTop w:val="0"/>
      <w:marBottom w:val="0"/>
      <w:divBdr>
        <w:top w:val="none" w:sz="0" w:space="0" w:color="auto"/>
        <w:left w:val="none" w:sz="0" w:space="0" w:color="auto"/>
        <w:bottom w:val="none" w:sz="0" w:space="0" w:color="auto"/>
        <w:right w:val="none" w:sz="0" w:space="0" w:color="auto"/>
      </w:divBdr>
    </w:div>
    <w:div w:id="930506275">
      <w:bodyDiv w:val="1"/>
      <w:marLeft w:val="0"/>
      <w:marRight w:val="0"/>
      <w:marTop w:val="0"/>
      <w:marBottom w:val="0"/>
      <w:divBdr>
        <w:top w:val="none" w:sz="0" w:space="0" w:color="auto"/>
        <w:left w:val="none" w:sz="0" w:space="0" w:color="auto"/>
        <w:bottom w:val="none" w:sz="0" w:space="0" w:color="auto"/>
        <w:right w:val="none" w:sz="0" w:space="0" w:color="auto"/>
      </w:divBdr>
    </w:div>
    <w:div w:id="948589204">
      <w:bodyDiv w:val="1"/>
      <w:marLeft w:val="0"/>
      <w:marRight w:val="0"/>
      <w:marTop w:val="0"/>
      <w:marBottom w:val="0"/>
      <w:divBdr>
        <w:top w:val="none" w:sz="0" w:space="0" w:color="auto"/>
        <w:left w:val="none" w:sz="0" w:space="0" w:color="auto"/>
        <w:bottom w:val="none" w:sz="0" w:space="0" w:color="auto"/>
        <w:right w:val="none" w:sz="0" w:space="0" w:color="auto"/>
      </w:divBdr>
    </w:div>
    <w:div w:id="961038211">
      <w:bodyDiv w:val="1"/>
      <w:marLeft w:val="0"/>
      <w:marRight w:val="0"/>
      <w:marTop w:val="0"/>
      <w:marBottom w:val="0"/>
      <w:divBdr>
        <w:top w:val="none" w:sz="0" w:space="0" w:color="auto"/>
        <w:left w:val="none" w:sz="0" w:space="0" w:color="auto"/>
        <w:bottom w:val="none" w:sz="0" w:space="0" w:color="auto"/>
        <w:right w:val="none" w:sz="0" w:space="0" w:color="auto"/>
      </w:divBdr>
    </w:div>
    <w:div w:id="964232079">
      <w:bodyDiv w:val="1"/>
      <w:marLeft w:val="0"/>
      <w:marRight w:val="0"/>
      <w:marTop w:val="0"/>
      <w:marBottom w:val="0"/>
      <w:divBdr>
        <w:top w:val="none" w:sz="0" w:space="0" w:color="auto"/>
        <w:left w:val="none" w:sz="0" w:space="0" w:color="auto"/>
        <w:bottom w:val="none" w:sz="0" w:space="0" w:color="auto"/>
        <w:right w:val="none" w:sz="0" w:space="0" w:color="auto"/>
      </w:divBdr>
    </w:div>
    <w:div w:id="1114786884">
      <w:bodyDiv w:val="1"/>
      <w:marLeft w:val="0"/>
      <w:marRight w:val="0"/>
      <w:marTop w:val="0"/>
      <w:marBottom w:val="0"/>
      <w:divBdr>
        <w:top w:val="none" w:sz="0" w:space="0" w:color="auto"/>
        <w:left w:val="none" w:sz="0" w:space="0" w:color="auto"/>
        <w:bottom w:val="none" w:sz="0" w:space="0" w:color="auto"/>
        <w:right w:val="none" w:sz="0" w:space="0" w:color="auto"/>
      </w:divBdr>
    </w:div>
    <w:div w:id="1126123847">
      <w:bodyDiv w:val="1"/>
      <w:marLeft w:val="0"/>
      <w:marRight w:val="0"/>
      <w:marTop w:val="0"/>
      <w:marBottom w:val="0"/>
      <w:divBdr>
        <w:top w:val="none" w:sz="0" w:space="0" w:color="auto"/>
        <w:left w:val="none" w:sz="0" w:space="0" w:color="auto"/>
        <w:bottom w:val="none" w:sz="0" w:space="0" w:color="auto"/>
        <w:right w:val="none" w:sz="0" w:space="0" w:color="auto"/>
      </w:divBdr>
    </w:div>
    <w:div w:id="1144810237">
      <w:bodyDiv w:val="1"/>
      <w:marLeft w:val="0"/>
      <w:marRight w:val="0"/>
      <w:marTop w:val="0"/>
      <w:marBottom w:val="0"/>
      <w:divBdr>
        <w:top w:val="none" w:sz="0" w:space="0" w:color="auto"/>
        <w:left w:val="none" w:sz="0" w:space="0" w:color="auto"/>
        <w:bottom w:val="none" w:sz="0" w:space="0" w:color="auto"/>
        <w:right w:val="none" w:sz="0" w:space="0" w:color="auto"/>
      </w:divBdr>
    </w:div>
    <w:div w:id="1176194919">
      <w:bodyDiv w:val="1"/>
      <w:marLeft w:val="0"/>
      <w:marRight w:val="0"/>
      <w:marTop w:val="0"/>
      <w:marBottom w:val="0"/>
      <w:divBdr>
        <w:top w:val="none" w:sz="0" w:space="0" w:color="auto"/>
        <w:left w:val="none" w:sz="0" w:space="0" w:color="auto"/>
        <w:bottom w:val="none" w:sz="0" w:space="0" w:color="auto"/>
        <w:right w:val="none" w:sz="0" w:space="0" w:color="auto"/>
      </w:divBdr>
    </w:div>
    <w:div w:id="1245917742">
      <w:bodyDiv w:val="1"/>
      <w:marLeft w:val="0"/>
      <w:marRight w:val="0"/>
      <w:marTop w:val="0"/>
      <w:marBottom w:val="0"/>
      <w:divBdr>
        <w:top w:val="none" w:sz="0" w:space="0" w:color="auto"/>
        <w:left w:val="none" w:sz="0" w:space="0" w:color="auto"/>
        <w:bottom w:val="none" w:sz="0" w:space="0" w:color="auto"/>
        <w:right w:val="none" w:sz="0" w:space="0" w:color="auto"/>
      </w:divBdr>
    </w:div>
    <w:div w:id="1304891764">
      <w:bodyDiv w:val="1"/>
      <w:marLeft w:val="0"/>
      <w:marRight w:val="0"/>
      <w:marTop w:val="0"/>
      <w:marBottom w:val="0"/>
      <w:divBdr>
        <w:top w:val="none" w:sz="0" w:space="0" w:color="auto"/>
        <w:left w:val="none" w:sz="0" w:space="0" w:color="auto"/>
        <w:bottom w:val="none" w:sz="0" w:space="0" w:color="auto"/>
        <w:right w:val="none" w:sz="0" w:space="0" w:color="auto"/>
      </w:divBdr>
    </w:div>
    <w:div w:id="1355040558">
      <w:bodyDiv w:val="1"/>
      <w:marLeft w:val="0"/>
      <w:marRight w:val="0"/>
      <w:marTop w:val="0"/>
      <w:marBottom w:val="0"/>
      <w:divBdr>
        <w:top w:val="none" w:sz="0" w:space="0" w:color="auto"/>
        <w:left w:val="none" w:sz="0" w:space="0" w:color="auto"/>
        <w:bottom w:val="none" w:sz="0" w:space="0" w:color="auto"/>
        <w:right w:val="none" w:sz="0" w:space="0" w:color="auto"/>
      </w:divBdr>
    </w:div>
    <w:div w:id="1355688232">
      <w:bodyDiv w:val="1"/>
      <w:marLeft w:val="0"/>
      <w:marRight w:val="0"/>
      <w:marTop w:val="0"/>
      <w:marBottom w:val="0"/>
      <w:divBdr>
        <w:top w:val="none" w:sz="0" w:space="0" w:color="auto"/>
        <w:left w:val="none" w:sz="0" w:space="0" w:color="auto"/>
        <w:bottom w:val="none" w:sz="0" w:space="0" w:color="auto"/>
        <w:right w:val="none" w:sz="0" w:space="0" w:color="auto"/>
      </w:divBdr>
    </w:div>
    <w:div w:id="1470973492">
      <w:bodyDiv w:val="1"/>
      <w:marLeft w:val="0"/>
      <w:marRight w:val="0"/>
      <w:marTop w:val="0"/>
      <w:marBottom w:val="0"/>
      <w:divBdr>
        <w:top w:val="none" w:sz="0" w:space="0" w:color="auto"/>
        <w:left w:val="none" w:sz="0" w:space="0" w:color="auto"/>
        <w:bottom w:val="none" w:sz="0" w:space="0" w:color="auto"/>
        <w:right w:val="none" w:sz="0" w:space="0" w:color="auto"/>
      </w:divBdr>
    </w:div>
    <w:div w:id="1504851951">
      <w:bodyDiv w:val="1"/>
      <w:marLeft w:val="0"/>
      <w:marRight w:val="0"/>
      <w:marTop w:val="0"/>
      <w:marBottom w:val="0"/>
      <w:divBdr>
        <w:top w:val="none" w:sz="0" w:space="0" w:color="auto"/>
        <w:left w:val="none" w:sz="0" w:space="0" w:color="auto"/>
        <w:bottom w:val="none" w:sz="0" w:space="0" w:color="auto"/>
        <w:right w:val="none" w:sz="0" w:space="0" w:color="auto"/>
      </w:divBdr>
    </w:div>
    <w:div w:id="1506552063">
      <w:bodyDiv w:val="1"/>
      <w:marLeft w:val="0"/>
      <w:marRight w:val="0"/>
      <w:marTop w:val="0"/>
      <w:marBottom w:val="0"/>
      <w:divBdr>
        <w:top w:val="none" w:sz="0" w:space="0" w:color="auto"/>
        <w:left w:val="none" w:sz="0" w:space="0" w:color="auto"/>
        <w:bottom w:val="none" w:sz="0" w:space="0" w:color="auto"/>
        <w:right w:val="none" w:sz="0" w:space="0" w:color="auto"/>
      </w:divBdr>
    </w:div>
    <w:div w:id="1511069370">
      <w:bodyDiv w:val="1"/>
      <w:marLeft w:val="0"/>
      <w:marRight w:val="0"/>
      <w:marTop w:val="0"/>
      <w:marBottom w:val="0"/>
      <w:divBdr>
        <w:top w:val="none" w:sz="0" w:space="0" w:color="auto"/>
        <w:left w:val="none" w:sz="0" w:space="0" w:color="auto"/>
        <w:bottom w:val="none" w:sz="0" w:space="0" w:color="auto"/>
        <w:right w:val="none" w:sz="0" w:space="0" w:color="auto"/>
      </w:divBdr>
    </w:div>
    <w:div w:id="1567761926">
      <w:bodyDiv w:val="1"/>
      <w:marLeft w:val="0"/>
      <w:marRight w:val="0"/>
      <w:marTop w:val="0"/>
      <w:marBottom w:val="0"/>
      <w:divBdr>
        <w:top w:val="none" w:sz="0" w:space="0" w:color="auto"/>
        <w:left w:val="none" w:sz="0" w:space="0" w:color="auto"/>
        <w:bottom w:val="none" w:sz="0" w:space="0" w:color="auto"/>
        <w:right w:val="none" w:sz="0" w:space="0" w:color="auto"/>
      </w:divBdr>
    </w:div>
    <w:div w:id="1588727804">
      <w:bodyDiv w:val="1"/>
      <w:marLeft w:val="0"/>
      <w:marRight w:val="0"/>
      <w:marTop w:val="0"/>
      <w:marBottom w:val="0"/>
      <w:divBdr>
        <w:top w:val="none" w:sz="0" w:space="0" w:color="auto"/>
        <w:left w:val="none" w:sz="0" w:space="0" w:color="auto"/>
        <w:bottom w:val="none" w:sz="0" w:space="0" w:color="auto"/>
        <w:right w:val="none" w:sz="0" w:space="0" w:color="auto"/>
      </w:divBdr>
    </w:div>
    <w:div w:id="1590194919">
      <w:bodyDiv w:val="1"/>
      <w:marLeft w:val="0"/>
      <w:marRight w:val="0"/>
      <w:marTop w:val="0"/>
      <w:marBottom w:val="0"/>
      <w:divBdr>
        <w:top w:val="none" w:sz="0" w:space="0" w:color="auto"/>
        <w:left w:val="none" w:sz="0" w:space="0" w:color="auto"/>
        <w:bottom w:val="none" w:sz="0" w:space="0" w:color="auto"/>
        <w:right w:val="none" w:sz="0" w:space="0" w:color="auto"/>
      </w:divBdr>
    </w:div>
    <w:div w:id="1622296689">
      <w:bodyDiv w:val="1"/>
      <w:marLeft w:val="0"/>
      <w:marRight w:val="0"/>
      <w:marTop w:val="0"/>
      <w:marBottom w:val="0"/>
      <w:divBdr>
        <w:top w:val="none" w:sz="0" w:space="0" w:color="auto"/>
        <w:left w:val="none" w:sz="0" w:space="0" w:color="auto"/>
        <w:bottom w:val="none" w:sz="0" w:space="0" w:color="auto"/>
        <w:right w:val="none" w:sz="0" w:space="0" w:color="auto"/>
      </w:divBdr>
    </w:div>
    <w:div w:id="1690837042">
      <w:bodyDiv w:val="1"/>
      <w:marLeft w:val="0"/>
      <w:marRight w:val="0"/>
      <w:marTop w:val="0"/>
      <w:marBottom w:val="0"/>
      <w:divBdr>
        <w:top w:val="none" w:sz="0" w:space="0" w:color="auto"/>
        <w:left w:val="none" w:sz="0" w:space="0" w:color="auto"/>
        <w:bottom w:val="none" w:sz="0" w:space="0" w:color="auto"/>
        <w:right w:val="none" w:sz="0" w:space="0" w:color="auto"/>
      </w:divBdr>
    </w:div>
    <w:div w:id="1710106523">
      <w:bodyDiv w:val="1"/>
      <w:marLeft w:val="0"/>
      <w:marRight w:val="0"/>
      <w:marTop w:val="0"/>
      <w:marBottom w:val="0"/>
      <w:divBdr>
        <w:top w:val="none" w:sz="0" w:space="0" w:color="auto"/>
        <w:left w:val="none" w:sz="0" w:space="0" w:color="auto"/>
        <w:bottom w:val="none" w:sz="0" w:space="0" w:color="auto"/>
        <w:right w:val="none" w:sz="0" w:space="0" w:color="auto"/>
      </w:divBdr>
    </w:div>
    <w:div w:id="1783839393">
      <w:bodyDiv w:val="1"/>
      <w:marLeft w:val="0"/>
      <w:marRight w:val="0"/>
      <w:marTop w:val="0"/>
      <w:marBottom w:val="0"/>
      <w:divBdr>
        <w:top w:val="none" w:sz="0" w:space="0" w:color="auto"/>
        <w:left w:val="none" w:sz="0" w:space="0" w:color="auto"/>
        <w:bottom w:val="none" w:sz="0" w:space="0" w:color="auto"/>
        <w:right w:val="none" w:sz="0" w:space="0" w:color="auto"/>
      </w:divBdr>
    </w:div>
    <w:div w:id="1792239138">
      <w:bodyDiv w:val="1"/>
      <w:marLeft w:val="0"/>
      <w:marRight w:val="0"/>
      <w:marTop w:val="0"/>
      <w:marBottom w:val="0"/>
      <w:divBdr>
        <w:top w:val="none" w:sz="0" w:space="0" w:color="auto"/>
        <w:left w:val="none" w:sz="0" w:space="0" w:color="auto"/>
        <w:bottom w:val="none" w:sz="0" w:space="0" w:color="auto"/>
        <w:right w:val="none" w:sz="0" w:space="0" w:color="auto"/>
      </w:divBdr>
    </w:div>
    <w:div w:id="1871070166">
      <w:bodyDiv w:val="1"/>
      <w:marLeft w:val="0"/>
      <w:marRight w:val="0"/>
      <w:marTop w:val="0"/>
      <w:marBottom w:val="0"/>
      <w:divBdr>
        <w:top w:val="none" w:sz="0" w:space="0" w:color="auto"/>
        <w:left w:val="none" w:sz="0" w:space="0" w:color="auto"/>
        <w:bottom w:val="none" w:sz="0" w:space="0" w:color="auto"/>
        <w:right w:val="none" w:sz="0" w:space="0" w:color="auto"/>
      </w:divBdr>
    </w:div>
    <w:div w:id="1912228272">
      <w:bodyDiv w:val="1"/>
      <w:marLeft w:val="0"/>
      <w:marRight w:val="0"/>
      <w:marTop w:val="0"/>
      <w:marBottom w:val="0"/>
      <w:divBdr>
        <w:top w:val="none" w:sz="0" w:space="0" w:color="auto"/>
        <w:left w:val="none" w:sz="0" w:space="0" w:color="auto"/>
        <w:bottom w:val="none" w:sz="0" w:space="0" w:color="auto"/>
        <w:right w:val="none" w:sz="0" w:space="0" w:color="auto"/>
      </w:divBdr>
    </w:div>
    <w:div w:id="1936161947">
      <w:bodyDiv w:val="1"/>
      <w:marLeft w:val="0"/>
      <w:marRight w:val="0"/>
      <w:marTop w:val="0"/>
      <w:marBottom w:val="0"/>
      <w:divBdr>
        <w:top w:val="none" w:sz="0" w:space="0" w:color="auto"/>
        <w:left w:val="none" w:sz="0" w:space="0" w:color="auto"/>
        <w:bottom w:val="none" w:sz="0" w:space="0" w:color="auto"/>
        <w:right w:val="none" w:sz="0" w:space="0" w:color="auto"/>
      </w:divBdr>
    </w:div>
    <w:div w:id="2010475743">
      <w:bodyDiv w:val="1"/>
      <w:marLeft w:val="0"/>
      <w:marRight w:val="0"/>
      <w:marTop w:val="0"/>
      <w:marBottom w:val="0"/>
      <w:divBdr>
        <w:top w:val="none" w:sz="0" w:space="0" w:color="auto"/>
        <w:left w:val="none" w:sz="0" w:space="0" w:color="auto"/>
        <w:bottom w:val="none" w:sz="0" w:space="0" w:color="auto"/>
        <w:right w:val="none" w:sz="0" w:space="0" w:color="auto"/>
      </w:divBdr>
    </w:div>
    <w:div w:id="2029595362">
      <w:bodyDiv w:val="1"/>
      <w:marLeft w:val="0"/>
      <w:marRight w:val="0"/>
      <w:marTop w:val="0"/>
      <w:marBottom w:val="0"/>
      <w:divBdr>
        <w:top w:val="none" w:sz="0" w:space="0" w:color="auto"/>
        <w:left w:val="none" w:sz="0" w:space="0" w:color="auto"/>
        <w:bottom w:val="none" w:sz="0" w:space="0" w:color="auto"/>
        <w:right w:val="none" w:sz="0" w:space="0" w:color="auto"/>
      </w:divBdr>
    </w:div>
    <w:div w:id="2037122995">
      <w:bodyDiv w:val="1"/>
      <w:marLeft w:val="0"/>
      <w:marRight w:val="0"/>
      <w:marTop w:val="0"/>
      <w:marBottom w:val="0"/>
      <w:divBdr>
        <w:top w:val="none" w:sz="0" w:space="0" w:color="auto"/>
        <w:left w:val="none" w:sz="0" w:space="0" w:color="auto"/>
        <w:bottom w:val="none" w:sz="0" w:space="0" w:color="auto"/>
        <w:right w:val="none" w:sz="0" w:space="0" w:color="auto"/>
      </w:divBdr>
    </w:div>
    <w:div w:id="2066220970">
      <w:bodyDiv w:val="1"/>
      <w:marLeft w:val="0"/>
      <w:marRight w:val="0"/>
      <w:marTop w:val="0"/>
      <w:marBottom w:val="0"/>
      <w:divBdr>
        <w:top w:val="none" w:sz="0" w:space="0" w:color="auto"/>
        <w:left w:val="none" w:sz="0" w:space="0" w:color="auto"/>
        <w:bottom w:val="none" w:sz="0" w:space="0" w:color="auto"/>
        <w:right w:val="none" w:sz="0" w:space="0" w:color="auto"/>
      </w:divBdr>
    </w:div>
    <w:div w:id="21071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7AC14-D052-4D79-BAD3-8BBED07F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748</Words>
  <Characters>4267</Characters>
  <Application>Microsoft Office Word</Application>
  <DocSecurity>0</DocSecurity>
  <Lines>35</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Sihelský Patrik</dc:creator>
  <cp:keywords/>
  <dc:description/>
  <cp:lastModifiedBy>Sihelský Patrik</cp:lastModifiedBy>
  <cp:revision>19</cp:revision>
  <dcterms:created xsi:type="dcterms:W3CDTF">2021-01-29T09:25:00Z</dcterms:created>
  <dcterms:modified xsi:type="dcterms:W3CDTF">2021-02-03T12:25:00Z</dcterms:modified>
</cp:coreProperties>
</file>