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7869E" w14:textId="097C01C3" w:rsidR="00110F56" w:rsidRPr="00C83F68" w:rsidRDefault="00110F56" w:rsidP="006520A9">
      <w:pPr>
        <w:jc w:val="right"/>
        <w:rPr>
          <w:i/>
          <w:sz w:val="20"/>
          <w:szCs w:val="20"/>
          <w:lang w:val="sk-SK"/>
        </w:rPr>
      </w:pPr>
      <w:r w:rsidRPr="00C83F68">
        <w:rPr>
          <w:i/>
          <w:sz w:val="20"/>
          <w:szCs w:val="20"/>
          <w:lang w:val="sk-SK"/>
        </w:rPr>
        <w:t>Príloha č. 5 k Servisnej zmluve č.</w:t>
      </w:r>
      <w:r w:rsidR="00D65382">
        <w:rPr>
          <w:i/>
          <w:sz w:val="20"/>
          <w:szCs w:val="20"/>
          <w:lang w:val="sk-SK"/>
        </w:rPr>
        <w:t xml:space="preserve"> </w:t>
      </w:r>
      <w:r w:rsidR="00A673CA" w:rsidRPr="00A673CA">
        <w:rPr>
          <w:i/>
          <w:sz w:val="20"/>
          <w:szCs w:val="20"/>
          <w:lang w:val="sk-SK"/>
        </w:rPr>
        <w:t>E-525.10.1015.00</w:t>
      </w:r>
    </w:p>
    <w:p w14:paraId="01242DF9" w14:textId="77777777" w:rsidR="00110F56" w:rsidRPr="00C83F68" w:rsidRDefault="00110F56" w:rsidP="002C5D52">
      <w:pPr>
        <w:pStyle w:val="BodyText"/>
        <w:tabs>
          <w:tab w:val="clear" w:pos="705"/>
          <w:tab w:val="left" w:pos="0"/>
        </w:tabs>
        <w:spacing w:before="240"/>
        <w:rPr>
          <w:rFonts w:ascii="Times New Roman" w:hAnsi="Times New Roman"/>
          <w:bCs/>
          <w:sz w:val="28"/>
          <w:szCs w:val="28"/>
        </w:rPr>
      </w:pPr>
      <w:r w:rsidRPr="00C83F68">
        <w:rPr>
          <w:rFonts w:ascii="Times New Roman" w:hAnsi="Times New Roman"/>
          <w:bCs/>
          <w:sz w:val="28"/>
          <w:szCs w:val="28"/>
        </w:rPr>
        <w:t>Slovník pojmov</w:t>
      </w:r>
    </w:p>
    <w:p w14:paraId="64046360" w14:textId="77777777" w:rsidR="00110F56" w:rsidRPr="00C83F68" w:rsidRDefault="00110F56">
      <w:pPr>
        <w:pStyle w:val="BodyTextIndent"/>
        <w:ind w:left="705" w:hanging="705"/>
        <w:rPr>
          <w:b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0"/>
        <w:gridCol w:w="7219"/>
      </w:tblGrid>
      <w:tr w:rsidR="00110F56" w:rsidRPr="00C83F68" w14:paraId="1D3581EC" w14:textId="77777777" w:rsidTr="006520A9">
        <w:trPr>
          <w:cantSplit/>
          <w:tblHeader/>
        </w:trPr>
        <w:tc>
          <w:tcPr>
            <w:tcW w:w="2420" w:type="dxa"/>
            <w:shd w:val="clear" w:color="auto" w:fill="F3F3F3"/>
          </w:tcPr>
          <w:p w14:paraId="17654361" w14:textId="77777777" w:rsidR="00110F56" w:rsidRPr="00C83F68" w:rsidRDefault="00110F56" w:rsidP="006520A9">
            <w:pPr>
              <w:spacing w:before="60" w:after="60"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b/>
                <w:sz w:val="16"/>
                <w:szCs w:val="16"/>
                <w:lang w:val="sk-SK"/>
              </w:rPr>
              <w:t>Pojem(y)/Výraz/ Skratka</w:t>
            </w:r>
          </w:p>
        </w:tc>
        <w:tc>
          <w:tcPr>
            <w:tcW w:w="7219" w:type="dxa"/>
            <w:shd w:val="clear" w:color="auto" w:fill="F3F3F3"/>
          </w:tcPr>
          <w:p w14:paraId="22D69597" w14:textId="77777777" w:rsidR="00110F56" w:rsidRPr="00C83F68" w:rsidRDefault="00110F56" w:rsidP="006520A9">
            <w:pPr>
              <w:spacing w:before="60" w:after="60"/>
              <w:jc w:val="both"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b/>
                <w:sz w:val="16"/>
                <w:szCs w:val="16"/>
                <w:lang w:val="sk-SK"/>
              </w:rPr>
              <w:t>Vysvetlenie Pojmu /Výrazu /Skratky</w:t>
            </w:r>
          </w:p>
        </w:tc>
      </w:tr>
      <w:tr w:rsidR="00110F56" w:rsidRPr="00C83F68" w14:paraId="6C27A77E" w14:textId="77777777" w:rsidTr="006520A9">
        <w:trPr>
          <w:cantSplit/>
        </w:trPr>
        <w:tc>
          <w:tcPr>
            <w:tcW w:w="2420" w:type="dxa"/>
          </w:tcPr>
          <w:p w14:paraId="28C5F9D3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Akceptačné testovanie</w:t>
            </w:r>
          </w:p>
        </w:tc>
        <w:tc>
          <w:tcPr>
            <w:tcW w:w="7219" w:type="dxa"/>
          </w:tcPr>
          <w:p w14:paraId="4E0DEB3E" w14:textId="77777777" w:rsidR="00110F56" w:rsidRPr="00C83F68" w:rsidRDefault="00110F56" w:rsidP="006520A9">
            <w:pPr>
              <w:numPr>
                <w:ilvl w:val="2"/>
                <w:numId w:val="0"/>
              </w:numPr>
              <w:tabs>
                <w:tab w:val="num" w:pos="2160"/>
              </w:tabs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spočíva v:</w:t>
            </w:r>
          </w:p>
          <w:p w14:paraId="07069054" w14:textId="4EBFD328" w:rsidR="00110F56" w:rsidRPr="00C83F68" w:rsidRDefault="00110F56" w:rsidP="006520A9">
            <w:pPr>
              <w:numPr>
                <w:ilvl w:val="0"/>
                <w:numId w:val="16"/>
              </w:numPr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overení objednávateľom splnenia požiadaviek objednávateľa na úpravu systému,</w:t>
            </w:r>
          </w:p>
          <w:p w14:paraId="21DBA216" w14:textId="301493AD" w:rsidR="00110F56" w:rsidRPr="00C83F68" w:rsidRDefault="00110F56" w:rsidP="006520A9">
            <w:pPr>
              <w:numPr>
                <w:ilvl w:val="0"/>
                <w:numId w:val="16"/>
              </w:numPr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riadení zaznamenaných incidentov týkajúcich sa úpravy systému,</w:t>
            </w:r>
          </w:p>
          <w:p w14:paraId="01E5E8FB" w14:textId="20722E23" w:rsidR="00110F56" w:rsidRPr="00C83F68" w:rsidRDefault="00110F56" w:rsidP="006520A9">
            <w:pPr>
              <w:numPr>
                <w:ilvl w:val="0"/>
                <w:numId w:val="16"/>
              </w:numPr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vypracovaní objednávateľom akceptačného protokolu  úpravy systému.</w:t>
            </w:r>
          </w:p>
        </w:tc>
      </w:tr>
      <w:tr w:rsidR="00110F56" w:rsidRPr="00C83F68" w14:paraId="31FD9F38" w14:textId="77777777" w:rsidTr="006520A9">
        <w:trPr>
          <w:cantSplit/>
        </w:trPr>
        <w:tc>
          <w:tcPr>
            <w:tcW w:w="2420" w:type="dxa"/>
          </w:tcPr>
          <w:p w14:paraId="48518376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Aplikačné programové rozhranie (API)</w:t>
            </w:r>
          </w:p>
        </w:tc>
        <w:tc>
          <w:tcPr>
            <w:tcW w:w="7219" w:type="dxa"/>
          </w:tcPr>
          <w:p w14:paraId="7A2D2BFE" w14:textId="43B27799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zmluvné strany rozumejú komponenty, programy, procedúry, funkcie, dátové a iné objekty systému, ktoré ako celok a/alebo jednotlivo zabezpečujú obojsmerný, resp. jednosmerný prenos a spracovanie dát a/alebo správ pre systém  tak, aby bola dosiahnutá jeho funkcionalita podľa dokumentu stanovujúceho celkovú funkcionalitu s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y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tému  a podľa sprievodnej dokumentácie systému </w:t>
            </w:r>
          </w:p>
        </w:tc>
      </w:tr>
      <w:tr w:rsidR="00110F56" w:rsidRPr="00C83F68" w14:paraId="6BA3D0C3" w14:textId="77777777" w:rsidTr="006520A9">
        <w:trPr>
          <w:cantSplit/>
        </w:trPr>
        <w:tc>
          <w:tcPr>
            <w:tcW w:w="2420" w:type="dxa"/>
          </w:tcPr>
          <w:p w14:paraId="69D1E934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Systém na zaznamenávanie prevádzkových incidentov</w:t>
            </w:r>
          </w:p>
        </w:tc>
        <w:tc>
          <w:tcPr>
            <w:tcW w:w="7219" w:type="dxa"/>
          </w:tcPr>
          <w:p w14:paraId="34EC6322" w14:textId="7B04FF5B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 xml:space="preserve">systém určený na evidovanie prevádzkových incidentov/vád/ chýb/nedostatkov zistených pri prevádzke systému, alebo v súvislosti s prevádzkou systému </w:t>
            </w:r>
          </w:p>
        </w:tc>
      </w:tr>
      <w:tr w:rsidR="00110F56" w:rsidRPr="00C83F68" w14:paraId="4AC3EF74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</w:tcPr>
          <w:p w14:paraId="068CB8A3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IS, informačný systém</w:t>
            </w:r>
          </w:p>
        </w:tc>
        <w:tc>
          <w:tcPr>
            <w:tcW w:w="7219" w:type="dxa"/>
          </w:tcPr>
          <w:p w14:paraId="5F93F8FD" w14:textId="77777777" w:rsidR="00110F56" w:rsidRPr="00C83F68" w:rsidRDefault="00110F56" w:rsidP="006520A9">
            <w:pPr>
              <w:pStyle w:val="Textvtabulce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Kompaktný programový produkt, pomocou ktorého sa na prostriedkoch výpočtovej techniky s nosičmi údajov spracúvajú údaje a informácie v elektronickej forme</w:t>
            </w:r>
          </w:p>
        </w:tc>
      </w:tr>
      <w:tr w:rsidR="00110F56" w:rsidRPr="00C83F68" w14:paraId="5254EBAD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</w:tcPr>
          <w:p w14:paraId="59C62468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Definovaný používateľ </w:t>
            </w:r>
          </w:p>
        </w:tc>
        <w:tc>
          <w:tcPr>
            <w:tcW w:w="7219" w:type="dxa"/>
          </w:tcPr>
          <w:p w14:paraId="216F9FDF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Osoba, ktorá má priamy alebo nepriamy prístup k Systému. Taktiež používatelia technických systémov umožňujúcich nepriamy prístup k Systému, ako aj technický systém sám, musia byť definovaní ako definovaní používatelia v zmysle tejto Zmluvy. Každá takáto osoba musí mať od objednávateľa pridelený identifikačný názov, pod ktorým je jeho prístup umožnený. Definovanými používateľmi môžu byť iba zamestnanci objednávateľa či zamestnanci právnych subjektov, s ktorými je objednávateľ v obchodnom styku. </w:t>
            </w:r>
          </w:p>
        </w:tc>
      </w:tr>
      <w:tr w:rsidR="00110F56" w:rsidRPr="00C83F68" w14:paraId="29EC1AEF" w14:textId="77777777" w:rsidTr="006520A9">
        <w:trPr>
          <w:cantSplit/>
        </w:trPr>
        <w:tc>
          <w:tcPr>
            <w:tcW w:w="2420" w:type="dxa"/>
          </w:tcPr>
          <w:p w14:paraId="1EE2387F" w14:textId="77777777" w:rsidR="00110F56" w:rsidRPr="00C83F68" w:rsidRDefault="00110F56" w:rsidP="006520A9">
            <w:pPr>
              <w:pStyle w:val="Nadpis5-ploha"/>
              <w:rPr>
                <w:rFonts w:ascii="Arial Narrow" w:hAnsi="Arial Narrow"/>
                <w:b w:val="0"/>
                <w:bCs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b w:val="0"/>
                <w:bCs/>
                <w:sz w:val="16"/>
                <w:szCs w:val="16"/>
                <w:lang w:val="sk-SK"/>
              </w:rPr>
              <w:t>Developer používateľ</w:t>
            </w:r>
          </w:p>
          <w:p w14:paraId="679E2225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  <w:tc>
          <w:tcPr>
            <w:tcW w:w="7219" w:type="dxa"/>
          </w:tcPr>
          <w:p w14:paraId="3890E69E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Ide o používateľa oprávneného užívať vývojové a administratívne nástroje  v rámci Systému za účelom modifikácie, rozvinutia a spravovania Systému alebo aplikácií tretích strán za účelom vytvárania, rozvíjania alebo spravovania Zákazníkom vyvíjaných aplikácií. Tento používateľ nemá práva Professional používateľa alebo Limited Professional používateľa.</w:t>
            </w:r>
          </w:p>
        </w:tc>
      </w:tr>
      <w:tr w:rsidR="00110F56" w:rsidRPr="00C83F68" w14:paraId="70501D33" w14:textId="77777777" w:rsidTr="006520A9">
        <w:trPr>
          <w:cantSplit/>
        </w:trPr>
        <w:tc>
          <w:tcPr>
            <w:tcW w:w="2420" w:type="dxa"/>
          </w:tcPr>
          <w:p w14:paraId="61D20D00" w14:textId="09C54A63" w:rsidR="00110F56" w:rsidRPr="00C83F68" w:rsidRDefault="005C1045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>
              <w:rPr>
                <w:rFonts w:ascii="Arial Narrow" w:hAnsi="Arial Narrow"/>
                <w:sz w:val="16"/>
                <w:szCs w:val="16"/>
                <w:lang w:val="sk-SK"/>
              </w:rPr>
              <w:t>S</w:t>
            </w:r>
            <w:r w:rsidR="00110F56"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ystém </w:t>
            </w:r>
          </w:p>
        </w:tc>
        <w:tc>
          <w:tcPr>
            <w:tcW w:w="7219" w:type="dxa"/>
          </w:tcPr>
          <w:p w14:paraId="5249B275" w14:textId="70C3630C" w:rsidR="00110F56" w:rsidRPr="00C83F68" w:rsidRDefault="005C1045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>
              <w:rPr>
                <w:rFonts w:ascii="Arial Narrow" w:hAnsi="Arial Narrow"/>
                <w:sz w:val="16"/>
                <w:szCs w:val="16"/>
                <w:lang w:val="sk-SK"/>
              </w:rPr>
              <w:t>S</w:t>
            </w:r>
            <w:r w:rsidR="00110F56" w:rsidRPr="00C83F68">
              <w:rPr>
                <w:rFonts w:ascii="Arial Narrow" w:hAnsi="Arial Narrow"/>
                <w:sz w:val="16"/>
                <w:szCs w:val="16"/>
                <w:lang w:val="sk-SK"/>
              </w:rPr>
              <w:t>ystém znamená informačný systém alebo systémy pozostávajúci/e/ z modulov, komponentov, objektov, programov, procedúr, funkcií, aplikačnej logiky a služieb, bezpečnostných a prezentačných služieb, databázy a databázových objektov pre finančné účtovníctvo a informačný systém na konverziu údajov (pozostávajúci /e/ z modulov, komponentov, objektov, programov, procedúr, funkcií, aplikačnej logiky a služieb, bezpečnostných a prezentačných služieb, databázy a databázových objektov) na platforme SAP a jej nasledujúcich aktualizácií, či v tlačenej, alebo strojom čitateľnej forme a na ktoré objednávateľ dostal licenciu podľa zmluvy upravujúcej licenčné podmienky a jej nasledujúcich aktualizácií, či v tlačenej, alebo strojom čitateľnej forme.</w:t>
            </w:r>
          </w:p>
        </w:tc>
      </w:tr>
      <w:tr w:rsidR="00110F56" w:rsidRPr="00C83F68" w14:paraId="43FF96D0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4C7D208B" w14:textId="01A5D73A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Dodávateľ Systému 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</w:p>
        </w:tc>
        <w:tc>
          <w:tcPr>
            <w:tcW w:w="7219" w:type="dxa"/>
          </w:tcPr>
          <w:p w14:paraId="39029991" w14:textId="1DA1072C" w:rsidR="00954DAD" w:rsidRPr="008422E9" w:rsidRDefault="00110F56" w:rsidP="00954DAD">
            <w:pPr>
              <w:shd w:val="clear" w:color="auto" w:fill="F8F9FA"/>
              <w:rPr>
                <w:rFonts w:ascii="Arial" w:hAnsi="Arial" w:cs="Arial"/>
                <w:color w:val="000000"/>
                <w:sz w:val="16"/>
                <w:szCs w:val="16"/>
                <w:lang w:val="sk-SK" w:eastAsia="en-US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Výrobca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, SAP</w:t>
            </w:r>
            <w:r w:rsidR="00954DAD">
              <w:rPr>
                <w:rFonts w:ascii="Arial Narrow" w:hAnsi="Arial Narrow"/>
                <w:sz w:val="16"/>
                <w:szCs w:val="16"/>
                <w:lang w:val="sk-SK"/>
              </w:rPr>
              <w:t xml:space="preserve"> SE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</w:t>
            </w:r>
            <w:r w:rsidR="00954DAD" w:rsidRPr="008422E9">
              <w:rPr>
                <w:rFonts w:ascii="Arial" w:hAnsi="Arial" w:cs="Arial"/>
                <w:color w:val="000000"/>
                <w:sz w:val="16"/>
                <w:szCs w:val="16"/>
              </w:rPr>
              <w:t>Dietmar-Hopp-Allee 16, </w:t>
            </w:r>
            <w:r w:rsidR="00161D08" w:rsidRPr="00161D08">
              <w:rPr>
                <w:rFonts w:ascii="Arial" w:hAnsi="Arial" w:cs="Arial"/>
                <w:color w:val="000000"/>
                <w:sz w:val="16"/>
                <w:szCs w:val="16"/>
              </w:rPr>
              <w:t>Walldorf</w:t>
            </w:r>
            <w:r w:rsidR="00954DAD" w:rsidRPr="008422E9">
              <w:rPr>
                <w:rFonts w:ascii="Arial" w:hAnsi="Arial" w:cs="Arial"/>
                <w:color w:val="000000"/>
                <w:sz w:val="16"/>
                <w:szCs w:val="16"/>
              </w:rPr>
              <w:t>, </w:t>
            </w:r>
            <w:r w:rsidR="00161D08" w:rsidRPr="00161D08">
              <w:rPr>
                <w:rFonts w:ascii="Arial" w:hAnsi="Arial" w:cs="Arial"/>
                <w:sz w:val="16"/>
                <w:szCs w:val="16"/>
              </w:rPr>
              <w:t>Baden-Württemberg</w:t>
            </w:r>
            <w:r w:rsidR="00954DAD" w:rsidRPr="008422E9">
              <w:rPr>
                <w:rFonts w:ascii="Arial" w:hAnsi="Arial" w:cs="Arial"/>
                <w:color w:val="000000"/>
                <w:sz w:val="16"/>
                <w:szCs w:val="16"/>
              </w:rPr>
              <w:t>, Germany</w:t>
            </w:r>
          </w:p>
          <w:p w14:paraId="77564770" w14:textId="1B161B5D" w:rsidR="00110F56" w:rsidRPr="00C83F68" w:rsidRDefault="00110F56" w:rsidP="006520A9">
            <w:pPr>
              <w:pStyle w:val="Textvtabulce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alebo jeho zastúpenie SAP Slovensko, s. r. o.</w:t>
            </w:r>
          </w:p>
        </w:tc>
      </w:tr>
      <w:tr w:rsidR="00110F56" w:rsidRPr="00C83F68" w14:paraId="47CE4ABE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3F497E9B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Dokumentácia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</w:p>
        </w:tc>
        <w:tc>
          <w:tcPr>
            <w:tcW w:w="7219" w:type="dxa"/>
          </w:tcPr>
          <w:p w14:paraId="018AE05F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Zoznam a popis funkcií Systém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(Online Documentation) v anglickom a nemeckom jazyku, ktorý je dodávaný spolu so Systémom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</w:p>
        </w:tc>
      </w:tr>
      <w:tr w:rsidR="00110F56" w:rsidRPr="00C83F68" w14:paraId="5013518F" w14:textId="77777777" w:rsidTr="006520A9">
        <w:trPr>
          <w:cantSplit/>
        </w:trPr>
        <w:tc>
          <w:tcPr>
            <w:tcW w:w="2420" w:type="dxa"/>
          </w:tcPr>
          <w:p w14:paraId="501637A3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Dôverná informácia druhej strany</w:t>
            </w:r>
          </w:p>
        </w:tc>
        <w:tc>
          <w:tcPr>
            <w:tcW w:w="7219" w:type="dxa"/>
          </w:tcPr>
          <w:p w14:paraId="7F613AA2" w14:textId="12BBAE36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Zmluvné strany rozumejú každý dokument, materiál, údaje alebo iné informácie vzťahujúce sa k výskumu a vývoju, obchodným tajomstvám, bankovým a služobným tajomstvám alebo obchodným záležitostiam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a alebo objednávateľa alebo sú označené ako dôverné a ktorejkoľvek zo strán dané druhou stranou pre účely tejto</w:t>
            </w:r>
            <w:r w:rsidR="00806290">
              <w:rPr>
                <w:rFonts w:ascii="Arial Narrow" w:hAnsi="Arial Narrow"/>
                <w:sz w:val="16"/>
                <w:szCs w:val="16"/>
                <w:lang w:val="sk-SK"/>
              </w:rPr>
              <w:t xml:space="preserve"> Servisnej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zmluvy.</w:t>
            </w:r>
          </w:p>
        </w:tc>
      </w:tr>
      <w:tr w:rsidR="00110F56" w:rsidRPr="00C83F68" w14:paraId="3721FE7D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102CCCC5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Externý definovaný používateľ</w:t>
            </w:r>
          </w:p>
        </w:tc>
        <w:tc>
          <w:tcPr>
            <w:tcW w:w="7219" w:type="dxa"/>
          </w:tcPr>
          <w:p w14:paraId="21B851AC" w14:textId="77777777" w:rsidR="00110F56" w:rsidRPr="00C83F68" w:rsidRDefault="00110F56" w:rsidP="006520A9">
            <w:pPr>
              <w:pStyle w:val="Textvtabulce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Identifikovateľný zamestnanec právneho subjektu, s ktorým je objednávateľ  v obchodnom styku a ktorý má prístup k 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.</w:t>
            </w:r>
          </w:p>
        </w:tc>
      </w:tr>
      <w:tr w:rsidR="00110F56" w:rsidRPr="00C83F68" w14:paraId="56A34E13" w14:textId="77777777" w:rsidTr="006520A9">
        <w:trPr>
          <w:cantSplit/>
        </w:trPr>
        <w:tc>
          <w:tcPr>
            <w:tcW w:w="2420" w:type="dxa"/>
          </w:tcPr>
          <w:p w14:paraId="2E2CD46F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Vlastník, vlastník IS</w:t>
            </w:r>
          </w:p>
        </w:tc>
        <w:tc>
          <w:tcPr>
            <w:tcW w:w="7219" w:type="dxa"/>
          </w:tcPr>
          <w:p w14:paraId="08DE63B2" w14:textId="77777777" w:rsidR="00110F56" w:rsidRPr="00C83F68" w:rsidRDefault="00110F56" w:rsidP="006520A9">
            <w:pPr>
              <w:pStyle w:val="Textvtabulce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Organizačný útvar NBS, ktorý stanovuje obsahovú náplň IS s oprávnením požadovať jeho modifikácie a v súlade s vnútornými predpismi NBS rozhodovať o prístupe zamestnancov NBS a iných organizácií k službám a údajom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br/>
              <w:t>v IS</w:t>
            </w:r>
          </w:p>
        </w:tc>
      </w:tr>
      <w:tr w:rsidR="00110F56" w:rsidRPr="00C83F68" w14:paraId="170C26C5" w14:textId="77777777" w:rsidTr="006520A9">
        <w:trPr>
          <w:cantSplit/>
        </w:trPr>
        <w:tc>
          <w:tcPr>
            <w:tcW w:w="2420" w:type="dxa"/>
          </w:tcPr>
          <w:p w14:paraId="51F70166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Chyba, nedostatok</w:t>
            </w:r>
          </w:p>
        </w:tc>
        <w:tc>
          <w:tcPr>
            <w:tcW w:w="7219" w:type="dxa"/>
          </w:tcPr>
          <w:p w14:paraId="0BFD7F5F" w14:textId="0816F3B9" w:rsidR="00110F56" w:rsidRPr="00C83F68" w:rsidRDefault="00110F56" w:rsidP="006520A9">
            <w:pPr>
              <w:pStyle w:val="Textvtabulce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Chybu a/alebo nedostatok predstavuje akékoľvek nesplnenie požiadaviek na systém, nesplnenie stanovených štandardov, neschválené odchýlky od stanovenej funkcionality systému alebo úprav systému, nedodržanie postupov stanovených pre analýzu, návrh, implementovanie, testovanie a spracovanie dokumentácie úprav systému a používanie iných ako stanovených softvérových nástrojov. Nedostatok predstavuje aj nevykonávanie alebo iba čiastočné vykonávanie funkcií komponentov, modulov, objektov a programov špecifikovaných v sprievodnej dokumentácií systému.</w:t>
            </w:r>
          </w:p>
        </w:tc>
      </w:tr>
      <w:tr w:rsidR="00110F56" w:rsidRPr="00C83F68" w14:paraId="38D1B3AA" w14:textId="77777777" w:rsidTr="006520A9">
        <w:trPr>
          <w:cantSplit/>
        </w:trPr>
        <w:tc>
          <w:tcPr>
            <w:tcW w:w="2420" w:type="dxa"/>
          </w:tcPr>
          <w:p w14:paraId="48382371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Inštalácia</w:t>
            </w:r>
          </w:p>
        </w:tc>
        <w:tc>
          <w:tcPr>
            <w:tcW w:w="7219" w:type="dxa"/>
          </w:tcPr>
          <w:p w14:paraId="2CB471A8" w14:textId="1266A572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Zmluvné strany rozumejú inštaláciu všetkých komponentov, programov a dát systému v databázovej a aplikačnej vrstve systému. Táto inštalácia môže byť vykonaná na testovacom prostredí a/alebo v produkčnom prostredí u objednávateľa.</w:t>
            </w:r>
          </w:p>
          <w:p w14:paraId="2178F813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Súhrn jednej produktívnej inštalácie a k nej priradených testovacích inštalácií</w:t>
            </w:r>
          </w:p>
        </w:tc>
      </w:tr>
      <w:tr w:rsidR="00110F56" w:rsidRPr="00C83F68" w14:paraId="637422DB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</w:tcPr>
          <w:p w14:paraId="5FE65487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Inštalácia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</w:p>
        </w:tc>
        <w:tc>
          <w:tcPr>
            <w:tcW w:w="7219" w:type="dxa"/>
          </w:tcPr>
          <w:p w14:paraId="22459BBB" w14:textId="77777777" w:rsidR="00110F56" w:rsidRPr="00C83F68" w:rsidRDefault="00110F56" w:rsidP="006520A9">
            <w:pPr>
              <w:pStyle w:val="Textvtabulce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Inštaláciou Systému 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 xml:space="preserve">SAP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sa rozumejú všetky produkty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, ktoré pristupujú do zostavy aplikačných databáz, a to tak priamo, ako aj nepriamo, alebo ktoré so zostavou aplikačných databáz vzájomne operujú. Zostava aplikačných databáz je určená tým, že každá tabuľka databázy nie je obsiahnutá viac ako raz</w:t>
            </w:r>
          </w:p>
        </w:tc>
      </w:tr>
      <w:tr w:rsidR="00110F56" w:rsidRPr="00C83F68" w14:paraId="3EE0247E" w14:textId="77777777" w:rsidTr="006520A9">
        <w:trPr>
          <w:cantSplit/>
        </w:trPr>
        <w:tc>
          <w:tcPr>
            <w:tcW w:w="2420" w:type="dxa"/>
          </w:tcPr>
          <w:p w14:paraId="796A2829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Komponent</w:t>
            </w:r>
          </w:p>
        </w:tc>
        <w:tc>
          <w:tcPr>
            <w:tcW w:w="7219" w:type="dxa"/>
          </w:tcPr>
          <w:p w14:paraId="7893AFB7" w14:textId="382459F7" w:rsidR="00110F56" w:rsidRPr="00C83F68" w:rsidRDefault="00110F56" w:rsidP="006520A9">
            <w:pPr>
              <w:pStyle w:val="BodyText"/>
              <w:spacing w:before="60" w:after="2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C83F68">
              <w:rPr>
                <w:rFonts w:ascii="Arial Narrow" w:hAnsi="Arial Narrow"/>
                <w:b w:val="0"/>
                <w:bCs/>
                <w:sz w:val="16"/>
                <w:szCs w:val="16"/>
              </w:rPr>
              <w:t>Komponent predstavuje každý produkt, resp. čiastkový produkt, ktorý je súčasťou systému, t. j. databáza a databázové objekty systému/systémov FINU/HRO a databáza a databázové objekty systému na konverziu údajov, programy, objekty a komponenty aplikačnej logiky a služieb, bezpečnostných a prezentačných služieb systému/systémov FINU/HRO a systému konverzie údajov a dokumenty sprievodnej dokumentácie systému.</w:t>
            </w:r>
          </w:p>
          <w:p w14:paraId="54C90560" w14:textId="659C1CFD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bCs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bCs/>
                <w:sz w:val="16"/>
                <w:szCs w:val="16"/>
                <w:lang w:val="sk-SK"/>
              </w:rPr>
              <w:t xml:space="preserve">Komponent je definovaný v štruktúre rozkladu systému ako súčasť konfiguračnej položky. Komponenty podliehajú riadeniu konfigurácií len ako súčasť konfiguračnej položky. </w:t>
            </w:r>
          </w:p>
        </w:tc>
      </w:tr>
      <w:tr w:rsidR="00110F56" w:rsidRPr="00C83F68" w14:paraId="67B8B5D0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37E4CFD7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Poverená osoba</w:t>
            </w:r>
          </w:p>
        </w:tc>
        <w:tc>
          <w:tcPr>
            <w:tcW w:w="7219" w:type="dxa"/>
          </w:tcPr>
          <w:p w14:paraId="60062B51" w14:textId="311101F5" w:rsidR="00110F56" w:rsidRPr="00C83F68" w:rsidRDefault="00110F56" w:rsidP="006520A9">
            <w:pPr>
              <w:pStyle w:val="Textvtabulce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Zástupca jednej zo strán tejto </w:t>
            </w:r>
            <w:r w:rsidR="00C10DB2">
              <w:rPr>
                <w:rFonts w:ascii="Arial Narrow" w:hAnsi="Arial Narrow"/>
                <w:sz w:val="16"/>
                <w:szCs w:val="16"/>
                <w:lang w:val="sk-SK"/>
              </w:rPr>
              <w:t>Servisnej z</w:t>
            </w:r>
            <w:r w:rsidR="00C10DB2"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mluvy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zaisťujúca spoluprácu a komunikáciu medzi stranami v rozsahu danom touto </w:t>
            </w:r>
            <w:r w:rsidR="00C10DB2">
              <w:rPr>
                <w:rFonts w:ascii="Arial Narrow" w:hAnsi="Arial Narrow"/>
                <w:sz w:val="16"/>
                <w:szCs w:val="16"/>
                <w:lang w:val="sk-SK"/>
              </w:rPr>
              <w:t xml:space="preserve">Servisnou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zmluvou a jeho oprávnením.</w:t>
            </w:r>
          </w:p>
        </w:tc>
      </w:tr>
      <w:tr w:rsidR="00110F56" w:rsidRPr="00C83F68" w14:paraId="77903E12" w14:textId="77777777" w:rsidTr="006520A9">
        <w:trPr>
          <w:cantSplit/>
        </w:trPr>
        <w:tc>
          <w:tcPr>
            <w:tcW w:w="2420" w:type="dxa"/>
          </w:tcPr>
          <w:p w14:paraId="3423E247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Kvalita</w:t>
            </w:r>
          </w:p>
        </w:tc>
        <w:tc>
          <w:tcPr>
            <w:tcW w:w="7219" w:type="dxa"/>
          </w:tcPr>
          <w:p w14:paraId="5FAC7EFB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Celkový súhrn znakov prvku, ktoré ovplyvňujú jeho schopnosť uspokojiť stanovené a predpokladané potreby.</w:t>
            </w:r>
          </w:p>
        </w:tc>
      </w:tr>
      <w:tr w:rsidR="00110F56" w:rsidRPr="00C83F68" w14:paraId="1DC97FA2" w14:textId="77777777" w:rsidTr="006520A9">
        <w:trPr>
          <w:cantSplit/>
        </w:trPr>
        <w:tc>
          <w:tcPr>
            <w:tcW w:w="2420" w:type="dxa"/>
          </w:tcPr>
          <w:p w14:paraId="73AA1F0A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Licencované materiály</w:t>
            </w:r>
          </w:p>
        </w:tc>
        <w:tc>
          <w:tcPr>
            <w:tcW w:w="7219" w:type="dxa"/>
          </w:tcPr>
          <w:p w14:paraId="6075AF0D" w14:textId="43800B9F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Zmluvné strany rozumejú dokumenty písané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om na používanie v spojení so  systémom (licencovaným programom) v slovenskom jazyku vrátane používateľských smerníc a referenčných materiálov dodávaných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om objednávateľovi podľa tejto </w:t>
            </w:r>
            <w:r w:rsidR="00C10DB2">
              <w:rPr>
                <w:rFonts w:ascii="Arial Narrow" w:hAnsi="Arial Narrow"/>
                <w:sz w:val="16"/>
                <w:szCs w:val="16"/>
                <w:lang w:val="sk-SK"/>
              </w:rPr>
              <w:t xml:space="preserve">Servisnej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zmluvy.</w:t>
            </w:r>
          </w:p>
        </w:tc>
      </w:tr>
      <w:tr w:rsidR="00110F56" w:rsidRPr="00C83F68" w14:paraId="450AB032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563231A2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lastRenderedPageBreak/>
              <w:t>Licenčný kľúč</w:t>
            </w:r>
          </w:p>
        </w:tc>
        <w:tc>
          <w:tcPr>
            <w:tcW w:w="7219" w:type="dxa"/>
          </w:tcPr>
          <w:p w14:paraId="5EA6EE23" w14:textId="77777777" w:rsidR="00110F56" w:rsidRPr="00C83F68" w:rsidRDefault="00110F56" w:rsidP="006520A9">
            <w:pPr>
              <w:pStyle w:val="Textvtabulce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24-miestny alfanumerický kľúč zabraňujúci neoprávnenému použitiu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. Kľúč je vydaný na určité obdobie na základe HW-kľúča pre konkrétny produkt a objednávateľa.</w:t>
            </w:r>
          </w:p>
        </w:tc>
      </w:tr>
      <w:tr w:rsidR="00110F56" w:rsidRPr="00C83F68" w14:paraId="5EA39F6A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46165531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Limited Professional používateľ</w:t>
            </w:r>
          </w:p>
        </w:tc>
        <w:tc>
          <w:tcPr>
            <w:tcW w:w="7219" w:type="dxa"/>
          </w:tcPr>
          <w:p w14:paraId="61CF0946" w14:textId="77777777" w:rsidR="00110F56" w:rsidRPr="00C83F68" w:rsidRDefault="00110F56" w:rsidP="006520A9">
            <w:pPr>
              <w:pStyle w:val="Textvtabulce"/>
              <w:spacing w:after="1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Ide o používateľa, ktorý vykonáva operatívne činnosti podporované Systémom v obmedzenom rozsahu. Jedná  sa hlavne o zamestnancov spoločnosti, ktorá je v obchodnom styku so Zákazníkom, a ktorý neužíva funkcionalitu Systému v takom rozsahu, ako ju užívajú zamestnanci Zákazníka. </w:t>
            </w:r>
          </w:p>
        </w:tc>
      </w:tr>
      <w:tr w:rsidR="00110F56" w:rsidRPr="00C83F68" w14:paraId="7149FBAD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trHeight w:val="806"/>
        </w:trPr>
        <w:tc>
          <w:tcPr>
            <w:tcW w:w="2420" w:type="dxa"/>
          </w:tcPr>
          <w:p w14:paraId="46278F4E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Moduly</w:t>
            </w:r>
          </w:p>
        </w:tc>
        <w:tc>
          <w:tcPr>
            <w:tcW w:w="7219" w:type="dxa"/>
          </w:tcPr>
          <w:p w14:paraId="76B18F74" w14:textId="224AB91E" w:rsidR="00110F56" w:rsidRPr="00C83F68" w:rsidRDefault="00110F56" w:rsidP="006520A9">
            <w:pPr>
              <w:pStyle w:val="ListContinue2"/>
              <w:ind w:left="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Systém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obsahuje moduly, ktoré sú spravované v rámci programových knižníc. Jedná sa o moduly, ktoré zabezpečujú systémové funkcie, neobsahujú aplikačnú logiku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. Časť týchto modulov, ktoré sú takto explicitne označené, je možné prevziať do zmeneného alebo novovytvoreného počítačového programu. Len tieto moduly môže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prevziať do zmeneného alebo novovytvoreného počítačového programu.</w:t>
            </w:r>
          </w:p>
          <w:p w14:paraId="14D95978" w14:textId="77777777" w:rsidR="00110F56" w:rsidRPr="00C83F68" w:rsidRDefault="00110F56" w:rsidP="006520A9">
            <w:pPr>
              <w:pStyle w:val="ListContinue2"/>
              <w:ind w:left="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b/>
                <w:sz w:val="16"/>
                <w:szCs w:val="16"/>
                <w:lang w:val="sk-SK"/>
              </w:rPr>
              <w:t>Moduly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nesmú byť menené ani dekompilované.</w:t>
            </w:r>
          </w:p>
        </w:tc>
      </w:tr>
      <w:tr w:rsidR="00110F56" w:rsidRPr="00C83F68" w14:paraId="16D379DA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trHeight w:val="610"/>
        </w:trPr>
        <w:tc>
          <w:tcPr>
            <w:tcW w:w="2420" w:type="dxa"/>
          </w:tcPr>
          <w:p w14:paraId="3E4906B2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Nástroje (Tools)</w:t>
            </w:r>
          </w:p>
        </w:tc>
        <w:tc>
          <w:tcPr>
            <w:tcW w:w="7219" w:type="dxa"/>
          </w:tcPr>
          <w:p w14:paraId="1292B568" w14:textId="77777777" w:rsidR="00110F56" w:rsidRPr="00C83F68" w:rsidRDefault="00110F56" w:rsidP="006520A9">
            <w:pPr>
              <w:pStyle w:val="ListContinue2"/>
              <w:ind w:left="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Systém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, predovšetkým ABAP Development Workbench, obsahuje softwarové nástroje (tools). Tieto nástroje môže používať výlučne definovaný používateľ Developer  pre vykonávanie zmien a rozšírenie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.</w:t>
            </w:r>
          </w:p>
          <w:p w14:paraId="214608FC" w14:textId="77777777" w:rsidR="00110F56" w:rsidRPr="00C83F68" w:rsidRDefault="00110F56" w:rsidP="006520A9">
            <w:pPr>
              <w:pStyle w:val="ListContinue2"/>
              <w:ind w:left="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Nástroje však nie je možné kompletne ani čiastočne kopírovať, napríklad za účelom ich začlenenia do zmeneného alebo novovytvoreného počítačového programu.</w:t>
            </w:r>
          </w:p>
        </w:tc>
      </w:tr>
      <w:tr w:rsidR="00110F56" w:rsidRPr="00C83F68" w14:paraId="2134EF4F" w14:textId="77777777" w:rsidTr="006520A9">
        <w:trPr>
          <w:cantSplit/>
          <w:trHeight w:val="468"/>
        </w:trPr>
        <w:tc>
          <w:tcPr>
            <w:tcW w:w="2420" w:type="dxa"/>
          </w:tcPr>
          <w:p w14:paraId="49F64C8D" w14:textId="77777777" w:rsidR="00110F56" w:rsidRPr="00C83F68" w:rsidRDefault="00110F56" w:rsidP="006520A9">
            <w:pPr>
              <w:pStyle w:val="ListContinue2"/>
              <w:ind w:left="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Neštandardná situácia</w:t>
            </w:r>
          </w:p>
        </w:tc>
        <w:tc>
          <w:tcPr>
            <w:tcW w:w="7219" w:type="dxa"/>
          </w:tcPr>
          <w:p w14:paraId="08E3AB72" w14:textId="7A313C77" w:rsidR="00110F56" w:rsidRPr="00C83F68" w:rsidRDefault="00110F56" w:rsidP="006520A9">
            <w:pPr>
              <w:pStyle w:val="ListContinue2"/>
              <w:ind w:left="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Stav pri prevádzke systému, pri ktorom z dôvodu programovej chyby, technickej poruchy alebo inej nepredvídateľnej udalosti nie je možné využívať funkčnosť niektorej z častí systému, prípadne funkčnosť celého systému v plnom rozsahu.</w:t>
            </w:r>
          </w:p>
        </w:tc>
      </w:tr>
      <w:tr w:rsidR="00110F56" w:rsidRPr="00C83F68" w14:paraId="68CEE720" w14:textId="77777777" w:rsidTr="006520A9">
        <w:trPr>
          <w:cantSplit/>
        </w:trPr>
        <w:tc>
          <w:tcPr>
            <w:tcW w:w="2420" w:type="dxa"/>
          </w:tcPr>
          <w:p w14:paraId="06CD7AB3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Obchodná značka</w:t>
            </w:r>
          </w:p>
        </w:tc>
        <w:tc>
          <w:tcPr>
            <w:tcW w:w="7219" w:type="dxa"/>
          </w:tcPr>
          <w:p w14:paraId="13E8E611" w14:textId="5FEC1CD2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Zmluvné strany rozumejú obchodnú značku a obchodné meno systému/systémov používané vo vzťahu a v spojení s  systémom (licencovanými programami) a licencovanými materiálmi a iné obchodné značky alebo obchodné mená, ktoré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používa pri systéme (licencovaných programoch) alebo licencovaných materiáloch.</w:t>
            </w:r>
          </w:p>
        </w:tc>
      </w:tr>
      <w:tr w:rsidR="00110F56" w:rsidRPr="00C83F68" w14:paraId="28E13CCE" w14:textId="77777777" w:rsidTr="006520A9">
        <w:trPr>
          <w:cantSplit/>
        </w:trPr>
        <w:tc>
          <w:tcPr>
            <w:tcW w:w="2420" w:type="dxa"/>
          </w:tcPr>
          <w:p w14:paraId="6485A55E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Osobodeň/človekodeň</w:t>
            </w:r>
          </w:p>
        </w:tc>
        <w:tc>
          <w:tcPr>
            <w:tcW w:w="7219" w:type="dxa"/>
          </w:tcPr>
          <w:p w14:paraId="7625F2D1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Zmluvné strany rozumejú práce a služby 1 osoby počas 8 hodín</w:t>
            </w:r>
          </w:p>
        </w:tc>
      </w:tr>
      <w:tr w:rsidR="00110F56" w:rsidRPr="00C83F68" w14:paraId="078C78DD" w14:textId="77777777" w:rsidTr="006520A9">
        <w:trPr>
          <w:cantSplit/>
        </w:trPr>
        <w:tc>
          <w:tcPr>
            <w:tcW w:w="2420" w:type="dxa"/>
          </w:tcPr>
          <w:p w14:paraId="63E66E7F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Prevzatý, Prevzatie, Prevziať</w:t>
            </w:r>
          </w:p>
        </w:tc>
        <w:tc>
          <w:tcPr>
            <w:tcW w:w="7219" w:type="dxa"/>
          </w:tcPr>
          <w:p w14:paraId="1A29D8CD" w14:textId="688B7FF9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pojmy „Prevzatý“, ”Prevzatie”, Prevziať“ tak, ako sú uvádzané v </w:t>
            </w:r>
            <w:r w:rsidR="00C10DB2">
              <w:rPr>
                <w:rFonts w:ascii="Arial Narrow" w:hAnsi="Arial Narrow"/>
                <w:sz w:val="16"/>
                <w:szCs w:val="16"/>
                <w:lang w:val="sk-SK"/>
              </w:rPr>
              <w:t xml:space="preserve">Servisnej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zmluve znamenajú pre obidve zmluvné strany, že:</w:t>
            </w:r>
          </w:p>
          <w:p w14:paraId="526F0212" w14:textId="135FC9EC" w:rsidR="00110F56" w:rsidRPr="00C83F68" w:rsidRDefault="00110F56" w:rsidP="006520A9">
            <w:pPr>
              <w:numPr>
                <w:ilvl w:val="0"/>
                <w:numId w:val="14"/>
              </w:num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akákoľvek dodávka uvedená v popise predmetu tejto </w:t>
            </w:r>
            <w:r w:rsidR="00C10DB2">
              <w:rPr>
                <w:rFonts w:ascii="Arial Narrow" w:hAnsi="Arial Narrow"/>
                <w:sz w:val="16"/>
                <w:szCs w:val="16"/>
                <w:lang w:val="sk-SK"/>
              </w:rPr>
              <w:t xml:space="preserve">Servisnej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zmluvy a/alebo akýkoľvek záväzok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a boli zo strany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a fyzicky dodané objednávateľovi za účelom ich prevzatia a objednávateľ ich k uvedenému účelu fyzicky prevzal. </w:t>
            </w:r>
          </w:p>
          <w:p w14:paraId="07AF3EF7" w14:textId="03D5E836" w:rsidR="00110F56" w:rsidRPr="00C83F68" w:rsidRDefault="00110F56" w:rsidP="006520A9">
            <w:pPr>
              <w:numPr>
                <w:ilvl w:val="0"/>
                <w:numId w:val="14"/>
              </w:num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fyzické prevzatie dodávky a/alebo záväzku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a potvrdia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a objednávateľ písomne v protokole o odovzdaní a prevzatí dodávky predmetu </w:t>
            </w:r>
            <w:r w:rsidR="00C10DB2">
              <w:rPr>
                <w:rFonts w:ascii="Arial Narrow" w:hAnsi="Arial Narrow"/>
                <w:sz w:val="16"/>
                <w:szCs w:val="16"/>
                <w:lang w:val="sk-SK"/>
              </w:rPr>
              <w:t xml:space="preserve">Servisnej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zmluvy. Predmetný protokol bude uvedený ako štandard v tejto zmluve.</w:t>
            </w:r>
          </w:p>
          <w:p w14:paraId="690F35B6" w14:textId="403A0F1F" w:rsidR="00110F56" w:rsidRPr="00C83F68" w:rsidRDefault="00110F56" w:rsidP="006520A9">
            <w:pPr>
              <w:numPr>
                <w:ilvl w:val="0"/>
                <w:numId w:val="14"/>
              </w:num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účel a stav dodávky alebo záväzku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a musí byť jednoznačne uvedený v predmetnom protokole o odovzdaní a prevzatí dodávky.</w:t>
            </w:r>
          </w:p>
        </w:tc>
      </w:tr>
      <w:tr w:rsidR="00110F56" w:rsidRPr="00C83F68" w14:paraId="5FBA6B55" w14:textId="77777777" w:rsidTr="006520A9">
        <w:trPr>
          <w:cantSplit/>
        </w:trPr>
        <w:tc>
          <w:tcPr>
            <w:tcW w:w="2420" w:type="dxa"/>
          </w:tcPr>
          <w:p w14:paraId="33055F6C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Prijatý, Prijatie, Prijať</w:t>
            </w:r>
          </w:p>
        </w:tc>
        <w:tc>
          <w:tcPr>
            <w:tcW w:w="7219" w:type="dxa"/>
          </w:tcPr>
          <w:p w14:paraId="702A815B" w14:textId="155F3CCC" w:rsidR="00110F56" w:rsidRPr="00C83F68" w:rsidRDefault="00110F56" w:rsidP="006520A9">
            <w:pPr>
              <w:pStyle w:val="weeklies"/>
              <w:overflowPunct/>
              <w:autoSpaceDE/>
              <w:autoSpaceDN/>
              <w:adjustRightInd/>
              <w:spacing w:before="60" w:after="20"/>
              <w:textAlignment w:val="auto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Pojmy „Prijatý“, ”Prijatie”, „Prijať“ tak, ako sú uvádzané v </w:t>
            </w:r>
            <w:r w:rsidR="00C10DB2">
              <w:rPr>
                <w:rFonts w:ascii="Arial Narrow" w:hAnsi="Arial Narrow"/>
                <w:sz w:val="16"/>
                <w:szCs w:val="16"/>
                <w:lang w:val="sk-SK"/>
              </w:rPr>
              <w:t xml:space="preserve">Servisnej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zmluve znamenajú pre obidve zmluvné strany, že:</w:t>
            </w:r>
          </w:p>
          <w:p w14:paraId="29B17912" w14:textId="05DA5684" w:rsidR="00110F56" w:rsidRPr="00C83F68" w:rsidRDefault="00110F56" w:rsidP="006520A9">
            <w:pPr>
              <w:numPr>
                <w:ilvl w:val="0"/>
                <w:numId w:val="13"/>
              </w:num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akákoľvek dodávka uvedená v popise predmetu tejto </w:t>
            </w:r>
            <w:r w:rsidR="00C10DB2">
              <w:rPr>
                <w:rFonts w:ascii="Arial Narrow" w:hAnsi="Arial Narrow"/>
                <w:sz w:val="16"/>
                <w:szCs w:val="16"/>
                <w:lang w:val="sk-SK"/>
              </w:rPr>
              <w:t xml:space="preserve">Servisnej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zmluvy a/alebo akýkoľvek záväzok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a boli zo strany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a splnené podľa podmienok, štandardov, procedúr a kritérií tejto </w:t>
            </w:r>
            <w:r w:rsidR="00C10DB2">
              <w:rPr>
                <w:rFonts w:ascii="Arial Narrow" w:hAnsi="Arial Narrow"/>
                <w:sz w:val="16"/>
                <w:szCs w:val="16"/>
                <w:lang w:val="sk-SK"/>
              </w:rPr>
              <w:t xml:space="preserve">Servisnej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zmluvy, a ktorých splnenie objednávateľ podľa podmienok tejto </w:t>
            </w:r>
            <w:r w:rsidR="00C10DB2">
              <w:rPr>
                <w:rFonts w:ascii="Arial Narrow" w:hAnsi="Arial Narrow"/>
                <w:sz w:val="16"/>
                <w:szCs w:val="16"/>
                <w:lang w:val="sk-SK"/>
              </w:rPr>
              <w:t xml:space="preserve">Servisnej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zmluvy písomne odsúhlasil (akceptoval),</w:t>
            </w:r>
          </w:p>
          <w:p w14:paraId="187E6881" w14:textId="3D1FF6BC" w:rsidR="00110F56" w:rsidRPr="00C83F68" w:rsidRDefault="00110F56" w:rsidP="006520A9">
            <w:pPr>
              <w:numPr>
                <w:ilvl w:val="0"/>
                <w:numId w:val="13"/>
              </w:num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akákoľvek dodávka uvedená v popise predmetu tejto </w:t>
            </w:r>
            <w:r w:rsidR="00C10DB2">
              <w:rPr>
                <w:rFonts w:ascii="Arial Narrow" w:hAnsi="Arial Narrow"/>
                <w:sz w:val="16"/>
                <w:szCs w:val="16"/>
                <w:lang w:val="sk-SK"/>
              </w:rPr>
              <w:t xml:space="preserve">Servisnej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zmluvy a/alebo akýkoľvek záväzok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a boli na základe predchádzajúceho objednávateľom odsúhlaseného splnenia (akceptácie) fyzicky dodané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om objednávateľovi v mieste objednávateľa a ktoré objednávateľ fyzicky prijal,</w:t>
            </w:r>
          </w:p>
          <w:p w14:paraId="447BE2D9" w14:textId="312E9D68" w:rsidR="00110F56" w:rsidRPr="00C83F68" w:rsidRDefault="00110F56" w:rsidP="006520A9">
            <w:pPr>
              <w:numPr>
                <w:ilvl w:val="0"/>
                <w:numId w:val="13"/>
              </w:num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fyzické prijatie písomne odsúhlasenej (akceptovanej) dodávky a/alebo záväzku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a potvrdia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a objednávateľ písomne v protokole o prijatí dodávky predmetu </w:t>
            </w:r>
            <w:r w:rsidR="00C10DB2">
              <w:rPr>
                <w:rFonts w:ascii="Arial Narrow" w:hAnsi="Arial Narrow"/>
                <w:sz w:val="16"/>
                <w:szCs w:val="16"/>
                <w:lang w:val="sk-SK"/>
              </w:rPr>
              <w:t xml:space="preserve">Servisnej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zmluvy. Predmetný protokol bude uvedený ako štandard v tejto </w:t>
            </w:r>
            <w:r w:rsidR="00C10DB2">
              <w:rPr>
                <w:rFonts w:ascii="Arial Narrow" w:hAnsi="Arial Narrow"/>
                <w:sz w:val="16"/>
                <w:szCs w:val="16"/>
                <w:lang w:val="sk-SK"/>
              </w:rPr>
              <w:t xml:space="preserve">Servisnej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zmluve.</w:t>
            </w:r>
          </w:p>
        </w:tc>
      </w:tr>
      <w:tr w:rsidR="00110F56" w:rsidRPr="00C83F68" w14:paraId="1DCC32DF" w14:textId="77777777" w:rsidTr="006520A9">
        <w:trPr>
          <w:cantSplit/>
        </w:trPr>
        <w:tc>
          <w:tcPr>
            <w:tcW w:w="2420" w:type="dxa"/>
          </w:tcPr>
          <w:p w14:paraId="0DB4872E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Prevádzkový  incident</w:t>
            </w:r>
          </w:p>
        </w:tc>
        <w:tc>
          <w:tcPr>
            <w:tcW w:w="7219" w:type="dxa"/>
          </w:tcPr>
          <w:p w14:paraId="61B2A762" w14:textId="52C9733B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 xml:space="preserve">Nedostatok, chyba a vada, alebo iný incident, ktoré vzniknú pri prevádzke systému, a/alebo v súvislosti s prevádzkou systému </w:t>
            </w:r>
          </w:p>
        </w:tc>
      </w:tr>
      <w:tr w:rsidR="00110F56" w:rsidRPr="00C83F68" w14:paraId="3402F58D" w14:textId="77777777" w:rsidTr="006520A9">
        <w:trPr>
          <w:cantSplit/>
        </w:trPr>
        <w:tc>
          <w:tcPr>
            <w:tcW w:w="2420" w:type="dxa"/>
          </w:tcPr>
          <w:p w14:paraId="3DC84770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Prevádzkovateľ, prevádzkovateľ IS</w:t>
            </w:r>
          </w:p>
        </w:tc>
        <w:tc>
          <w:tcPr>
            <w:tcW w:w="7219" w:type="dxa"/>
          </w:tcPr>
          <w:p w14:paraId="476976E4" w14:textId="6B42F18A" w:rsidR="00110F56" w:rsidRPr="00C83F68" w:rsidRDefault="00110F56" w:rsidP="006520A9">
            <w:pPr>
              <w:pStyle w:val="BodyTextIndent3"/>
              <w:tabs>
                <w:tab w:val="left" w:pos="5954"/>
              </w:tabs>
              <w:spacing w:before="60" w:after="20"/>
              <w:ind w:firstLine="0"/>
              <w:rPr>
                <w:rFonts w:ascii="Arial Narrow" w:hAnsi="Arial Narrow"/>
                <w:sz w:val="16"/>
                <w:szCs w:val="16"/>
              </w:rPr>
            </w:pPr>
            <w:r w:rsidRPr="00C83F68">
              <w:rPr>
                <w:rFonts w:ascii="Arial Narrow" w:hAnsi="Arial Narrow"/>
                <w:sz w:val="16"/>
                <w:szCs w:val="16"/>
              </w:rPr>
              <w:t xml:space="preserve">Organizačný útvar NBS, ktorý uskutočňuje prevádzku a údržbu IS, pričom prevádzkovateľom môže byť aj organizačný útvar odboru </w:t>
            </w:r>
            <w:r w:rsidR="00C83F68">
              <w:rPr>
                <w:rFonts w:ascii="Arial Narrow" w:hAnsi="Arial Narrow"/>
                <w:sz w:val="16"/>
                <w:szCs w:val="16"/>
              </w:rPr>
              <w:t> informačných technológií</w:t>
            </w:r>
            <w:r w:rsidRPr="00C83F68">
              <w:rPr>
                <w:rFonts w:ascii="Arial Narrow" w:hAnsi="Arial Narrow"/>
                <w:sz w:val="16"/>
                <w:szCs w:val="16"/>
              </w:rPr>
              <w:t>.</w:t>
            </w:r>
          </w:p>
        </w:tc>
      </w:tr>
      <w:tr w:rsidR="00110F56" w:rsidRPr="00C83F68" w14:paraId="79190A28" w14:textId="77777777" w:rsidTr="006520A9">
        <w:trPr>
          <w:cantSplit/>
        </w:trPr>
        <w:tc>
          <w:tcPr>
            <w:tcW w:w="2420" w:type="dxa"/>
          </w:tcPr>
          <w:p w14:paraId="7092EB33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Produkčné prostredie</w:t>
            </w:r>
          </w:p>
        </w:tc>
        <w:tc>
          <w:tcPr>
            <w:tcW w:w="7219" w:type="dxa"/>
          </w:tcPr>
          <w:p w14:paraId="4F560095" w14:textId="77777777" w:rsidR="00110F56" w:rsidRPr="00C83F68" w:rsidRDefault="00110F56" w:rsidP="006520A9">
            <w:pPr>
              <w:pStyle w:val="BodyTextIndent3"/>
              <w:tabs>
                <w:tab w:val="left" w:pos="5954"/>
              </w:tabs>
              <w:spacing w:before="60" w:after="20"/>
              <w:ind w:firstLine="0"/>
              <w:rPr>
                <w:rFonts w:ascii="Arial Narrow" w:hAnsi="Arial Narrow"/>
                <w:sz w:val="16"/>
                <w:szCs w:val="16"/>
              </w:rPr>
            </w:pPr>
            <w:r w:rsidRPr="00C83F68">
              <w:rPr>
                <w:rFonts w:ascii="Arial Narrow" w:hAnsi="Arial Narrow"/>
                <w:sz w:val="16"/>
                <w:szCs w:val="16"/>
              </w:rPr>
              <w:t>Zmluvné strany rozumejú technické zariadenia a programové vybavenie (softvér) nachádzajúce sa u objednávateľa vrátane nastavenia ich parametrov nasledovne:</w:t>
            </w:r>
          </w:p>
          <w:p w14:paraId="3161341D" w14:textId="2DAAAB20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Produkčný databázový server vrátane všetkých jeho zariadení, resp. samostatná logická partícia produkčného databázového servera umožňujúca samostatnú a od ostatných častí nezávislú administráciu a prevádzku databázového servera </w:t>
            </w:r>
            <w:r w:rsidR="00EF1681" w:rsidRPr="007E07EE">
              <w:rPr>
                <w:rFonts w:ascii="Arial Narrow" w:hAnsi="Arial Narrow"/>
                <w:sz w:val="16"/>
                <w:szCs w:val="16"/>
                <w:lang w:val="sk-SK"/>
              </w:rPr>
              <w:t>Oracle 1</w:t>
            </w:r>
            <w:r w:rsidR="007E07EE" w:rsidRPr="007E07EE">
              <w:rPr>
                <w:rFonts w:ascii="Arial Narrow" w:hAnsi="Arial Narrow"/>
                <w:sz w:val="16"/>
                <w:szCs w:val="16"/>
                <w:lang w:val="sk-SK"/>
              </w:rPr>
              <w:t>2</w:t>
            </w:r>
            <w:r w:rsidR="00EF1681" w:rsidRPr="007E07EE">
              <w:rPr>
                <w:rFonts w:ascii="Arial Narrow" w:hAnsi="Arial Narrow"/>
                <w:sz w:val="16"/>
                <w:szCs w:val="16"/>
                <w:lang w:val="sk-SK"/>
              </w:rPr>
              <w:t>.</w:t>
            </w:r>
            <w:r w:rsidR="007E07EE" w:rsidRPr="007E07EE">
              <w:rPr>
                <w:rFonts w:ascii="Arial Narrow" w:hAnsi="Arial Narrow"/>
                <w:sz w:val="16"/>
                <w:szCs w:val="16"/>
                <w:lang w:val="sk-SK"/>
              </w:rPr>
              <w:t>1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a databázových častí inštalovaného systému, produkčný aplikačný server vrátane všetkých jeho zariadení umožňujúci samostatnú a od ostatných častí nezávislú administráciu a prevádzku tohto produkčného servera a aplikačných komponentov a programov inštalovaného systému, klientske (používateľské) stanice (na báze PC), iné servery, prvky a zariadenia lokálnej počítačovej siete objednávateľa, ktorou sú tieto počítače prepojené, operačný systém produkčného databázového servera, operačný systém produkčného aplikačného servera a ostatných serverov lokálnej počítačovej siete objednávateľa, operačný systém klientskej stanice, softvér (programové vybavenie) lokálnej počítačovej siete objednávateľa, databázového servera </w:t>
            </w:r>
            <w:r w:rsidR="00EF1681" w:rsidRPr="007E07EE">
              <w:rPr>
                <w:rFonts w:ascii="Arial Narrow" w:hAnsi="Arial Narrow"/>
                <w:sz w:val="16"/>
                <w:szCs w:val="16"/>
                <w:lang w:val="sk-SK"/>
              </w:rPr>
              <w:t>Oracle 1</w:t>
            </w:r>
            <w:r w:rsidR="007E07EE" w:rsidRPr="007E07EE">
              <w:rPr>
                <w:rFonts w:ascii="Arial Narrow" w:hAnsi="Arial Narrow"/>
                <w:sz w:val="16"/>
                <w:szCs w:val="16"/>
                <w:lang w:val="sk-SK"/>
              </w:rPr>
              <w:t>2</w:t>
            </w:r>
            <w:r w:rsidR="00EF1681" w:rsidRPr="007E07EE">
              <w:rPr>
                <w:rFonts w:ascii="Arial Narrow" w:hAnsi="Arial Narrow"/>
                <w:sz w:val="16"/>
                <w:szCs w:val="16"/>
                <w:lang w:val="sk-SK"/>
              </w:rPr>
              <w:t>.</w:t>
            </w:r>
            <w:r w:rsidR="007E07EE" w:rsidRPr="007E07EE">
              <w:rPr>
                <w:rFonts w:ascii="Arial Narrow" w:hAnsi="Arial Narrow"/>
                <w:sz w:val="16"/>
                <w:szCs w:val="16"/>
                <w:lang w:val="sk-SK"/>
              </w:rPr>
              <w:t>1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, aplikačný server, komunikačný softvér objednávateľa, inštalované moduly, komponenty a programy systému na všetkých vrstvách systému.</w:t>
            </w:r>
          </w:p>
        </w:tc>
      </w:tr>
      <w:tr w:rsidR="00110F56" w:rsidRPr="00C83F68" w14:paraId="24B17A4C" w14:textId="77777777" w:rsidTr="006520A9">
        <w:trPr>
          <w:cantSplit/>
        </w:trPr>
        <w:tc>
          <w:tcPr>
            <w:tcW w:w="2420" w:type="dxa"/>
          </w:tcPr>
          <w:p w14:paraId="50A7A7A0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Produktová dokumentácia</w:t>
            </w:r>
          </w:p>
        </w:tc>
        <w:tc>
          <w:tcPr>
            <w:tcW w:w="7219" w:type="dxa"/>
          </w:tcPr>
          <w:p w14:paraId="4AD69225" w14:textId="0773BF86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Technická dokumentácia, používateľská dokumentácia, inštalačná dokumentácia systému</w:t>
            </w:r>
          </w:p>
        </w:tc>
      </w:tr>
      <w:tr w:rsidR="00110F56" w:rsidRPr="00C83F68" w14:paraId="29BEB5D1" w14:textId="77777777" w:rsidTr="006520A9">
        <w:trPr>
          <w:cantSplit/>
        </w:trPr>
        <w:tc>
          <w:tcPr>
            <w:tcW w:w="2420" w:type="dxa"/>
          </w:tcPr>
          <w:p w14:paraId="47AD7BD1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Produktívna inštalácia</w:t>
            </w:r>
          </w:p>
        </w:tc>
        <w:tc>
          <w:tcPr>
            <w:tcW w:w="7219" w:type="dxa"/>
          </w:tcPr>
          <w:p w14:paraId="6573E255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Inštalácia pre účely produktívnej prevádzky, t. j. prevádzky s reálnymi dátami a v reálnom čase </w:t>
            </w:r>
          </w:p>
        </w:tc>
      </w:tr>
      <w:tr w:rsidR="00110F56" w:rsidRPr="00C83F68" w14:paraId="63D5D202" w14:textId="77777777" w:rsidTr="006520A9">
        <w:trPr>
          <w:cantSplit/>
        </w:trPr>
        <w:tc>
          <w:tcPr>
            <w:tcW w:w="2420" w:type="dxa"/>
          </w:tcPr>
          <w:p w14:paraId="1451CBB9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Professional používateľ </w:t>
            </w:r>
          </w:p>
          <w:p w14:paraId="210145E9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  <w:tc>
          <w:tcPr>
            <w:tcW w:w="7219" w:type="dxa"/>
          </w:tcPr>
          <w:p w14:paraId="48E3BCFB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Ide o používateľa, ktorý vykonáva operatívne činnosti podporované Systémom. Kategória Professional používateľ zahrňuje aj oprávnenie dané užívateľovi kategórie Limited Professional používateľ. </w:t>
            </w:r>
          </w:p>
        </w:tc>
      </w:tr>
      <w:tr w:rsidR="00110F56" w:rsidRPr="00C83F68" w14:paraId="63476345" w14:textId="77777777" w:rsidTr="006520A9">
        <w:trPr>
          <w:cantSplit/>
        </w:trPr>
        <w:tc>
          <w:tcPr>
            <w:tcW w:w="2420" w:type="dxa"/>
          </w:tcPr>
          <w:p w14:paraId="1CE674FD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Projektant, projektant prevádzky</w:t>
            </w:r>
          </w:p>
        </w:tc>
        <w:tc>
          <w:tcPr>
            <w:tcW w:w="7219" w:type="dxa"/>
          </w:tcPr>
          <w:p w14:paraId="5022D4B7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Odbor informačných technológií, ktorý je zodpovedný za technické a programové vybavenie pracovísk a zabezpečenie prevádzky IS v NBS</w:t>
            </w:r>
          </w:p>
        </w:tc>
      </w:tr>
      <w:tr w:rsidR="00110F56" w:rsidRPr="00C83F68" w14:paraId="5C7C12B9" w14:textId="77777777" w:rsidTr="006520A9">
        <w:trPr>
          <w:cantSplit/>
        </w:trPr>
        <w:tc>
          <w:tcPr>
            <w:tcW w:w="2420" w:type="dxa"/>
          </w:tcPr>
          <w:p w14:paraId="44B83265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Prostredie</w:t>
            </w:r>
          </w:p>
        </w:tc>
        <w:tc>
          <w:tcPr>
            <w:tcW w:w="7219" w:type="dxa"/>
          </w:tcPr>
          <w:p w14:paraId="69722ED8" w14:textId="7E87236F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Zmluvné strany rozumejú testovacie a/alebo produkčné a/alebo archivačné prostredie objednávateľa, ktoré je inštalované v priestoroch objednávateľa na používanie s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o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 systémom (licencovanými programami). </w:t>
            </w:r>
          </w:p>
        </w:tc>
      </w:tr>
      <w:tr w:rsidR="00110F56" w:rsidRPr="00C83F68" w14:paraId="58C3DDB0" w14:textId="77777777" w:rsidTr="006520A9">
        <w:trPr>
          <w:cantSplit/>
        </w:trPr>
        <w:tc>
          <w:tcPr>
            <w:tcW w:w="2420" w:type="dxa"/>
          </w:tcPr>
          <w:p w14:paraId="1EE71F85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lastRenderedPageBreak/>
              <w:t>Riadenie</w:t>
            </w:r>
          </w:p>
        </w:tc>
        <w:tc>
          <w:tcPr>
            <w:tcW w:w="7219" w:type="dxa"/>
          </w:tcPr>
          <w:p w14:paraId="23B102C4" w14:textId="77777777" w:rsidR="00110F56" w:rsidRPr="00C83F68" w:rsidRDefault="00110F56" w:rsidP="006520A9">
            <w:pPr>
              <w:pStyle w:val="weeklies"/>
              <w:overflowPunct/>
              <w:autoSpaceDE/>
              <w:autoSpaceDN/>
              <w:adjustRightInd/>
              <w:spacing w:before="60" w:after="20"/>
              <w:textAlignment w:val="auto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Proces plánovania, zabezpečenia, kontrolovania a vyhodnocovania činností pri realizácii servisných služieb.</w:t>
            </w:r>
          </w:p>
        </w:tc>
      </w:tr>
      <w:tr w:rsidR="00110F56" w:rsidRPr="00C83F68" w14:paraId="2DECBD43" w14:textId="77777777" w:rsidTr="006520A9">
        <w:trPr>
          <w:cantSplit/>
        </w:trPr>
        <w:tc>
          <w:tcPr>
            <w:tcW w:w="2420" w:type="dxa"/>
          </w:tcPr>
          <w:p w14:paraId="6D1C8386" w14:textId="77777777" w:rsidR="00110F56" w:rsidRPr="00C83F68" w:rsidRDefault="00110F56" w:rsidP="006520A9">
            <w:pPr>
              <w:pStyle w:val="Header"/>
              <w:tabs>
                <w:tab w:val="clear" w:pos="4536"/>
                <w:tab w:val="clear" w:pos="9072"/>
              </w:tabs>
              <w:rPr>
                <w:rFonts w:ascii="Arial Narrow" w:hAnsi="Arial Narrow"/>
                <w:sz w:val="16"/>
                <w:szCs w:val="16"/>
              </w:rPr>
            </w:pPr>
            <w:r w:rsidRPr="00C83F68">
              <w:rPr>
                <w:rFonts w:ascii="Arial Narrow" w:hAnsi="Arial Narrow"/>
                <w:sz w:val="16"/>
                <w:szCs w:val="16"/>
              </w:rPr>
              <w:t>Riadenie incidentov</w:t>
            </w:r>
          </w:p>
        </w:tc>
        <w:tc>
          <w:tcPr>
            <w:tcW w:w="7219" w:type="dxa"/>
          </w:tcPr>
          <w:p w14:paraId="79EE9CAB" w14:textId="77777777" w:rsidR="00110F56" w:rsidRPr="00C83F68" w:rsidRDefault="00110F56" w:rsidP="006520A9">
            <w:pPr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Spočíva v: </w:t>
            </w:r>
          </w:p>
          <w:p w14:paraId="51FD4907" w14:textId="5C456DDF" w:rsidR="00110F56" w:rsidRPr="00C83F68" w:rsidRDefault="00110F56" w:rsidP="006520A9">
            <w:pPr>
              <w:numPr>
                <w:ilvl w:val="0"/>
                <w:numId w:val="17"/>
              </w:numPr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zaznamenaní incidentov v rámci prevádzky systému a/alebo počas akceptačného testovania úpravy systému alebo jeho časti do </w:t>
            </w:r>
            <w:r w:rsidR="00C83F68">
              <w:rPr>
                <w:rFonts w:ascii="Arial Narrow" w:hAnsi="Arial Narrow"/>
                <w:sz w:val="16"/>
                <w:szCs w:val="16"/>
                <w:lang w:val="sk-SK"/>
              </w:rPr>
              <w:t>IS Service desk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,</w:t>
            </w:r>
          </w:p>
          <w:p w14:paraId="7CE76396" w14:textId="77777777" w:rsidR="00110F56" w:rsidRPr="00C83F68" w:rsidRDefault="00110F56" w:rsidP="006520A9">
            <w:pPr>
              <w:numPr>
                <w:ilvl w:val="0"/>
                <w:numId w:val="17"/>
              </w:numPr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vykonanie analýzy príčin incidentu,</w:t>
            </w:r>
          </w:p>
          <w:p w14:paraId="53E46DB9" w14:textId="611839F8" w:rsidR="00110F56" w:rsidRPr="00C83F68" w:rsidRDefault="00110F56" w:rsidP="006520A9">
            <w:pPr>
              <w:numPr>
                <w:ilvl w:val="0"/>
                <w:numId w:val="17"/>
              </w:numPr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vyriešenie incidentov a otestovanie u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a tak, aby bolo vylúčené zanesenie nových incidentov do systému ako dôsledok riešenia daného incidentu,</w:t>
            </w:r>
          </w:p>
          <w:p w14:paraId="7D523256" w14:textId="77777777" w:rsidR="00110F56" w:rsidRPr="00C83F68" w:rsidRDefault="00110F56" w:rsidP="006520A9">
            <w:pPr>
              <w:numPr>
                <w:ilvl w:val="0"/>
                <w:numId w:val="17"/>
              </w:numPr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vykonanie overenia vyriešenia incidentu formou regresného testovania objednávateľom,</w:t>
            </w:r>
          </w:p>
          <w:p w14:paraId="55620F2B" w14:textId="50F982EE" w:rsidR="00110F56" w:rsidRPr="00C83F68" w:rsidRDefault="00110F56" w:rsidP="006520A9">
            <w:pPr>
              <w:numPr>
                <w:ilvl w:val="0"/>
                <w:numId w:val="17"/>
              </w:numPr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vedenie dokumentácie o riadení incidentov v </w:t>
            </w:r>
            <w:r w:rsidR="00C83F68">
              <w:rPr>
                <w:rFonts w:ascii="Arial Narrow" w:hAnsi="Arial Narrow"/>
                <w:sz w:val="16"/>
                <w:szCs w:val="16"/>
                <w:lang w:val="sk-SK"/>
              </w:rPr>
              <w:t>IS Service desk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.</w:t>
            </w:r>
          </w:p>
        </w:tc>
      </w:tr>
      <w:tr w:rsidR="00110F56" w:rsidRPr="00C83F68" w14:paraId="7F1620BB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</w:tcPr>
          <w:p w14:paraId="6E25889B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Rozšírenie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</w:p>
        </w:tc>
        <w:tc>
          <w:tcPr>
            <w:tcW w:w="7219" w:type="dxa"/>
          </w:tcPr>
          <w:p w14:paraId="30F69746" w14:textId="7974BD20" w:rsidR="00110F56" w:rsidRPr="00C83F68" w:rsidRDefault="00110F56" w:rsidP="006520A9">
            <w:pPr>
              <w:pStyle w:val="Textvtabulce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Rozšírenie znamená vytvorenie nového kódu zmenou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br/>
              <w:t xml:space="preserve">v zdrojovom kóde alebo meta - dátach vo vývojovom prostredí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, ktorý bude napojený na Systém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prostredníctvom rozhrania, ktoré je uvoľnené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om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.</w:t>
            </w:r>
          </w:p>
        </w:tc>
      </w:tr>
      <w:tr w:rsidR="00110F56" w:rsidRPr="00C83F68" w14:paraId="4FFFCF80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0EF2B101" w14:textId="3A247DA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SAP </w:t>
            </w:r>
            <w:r w:rsidR="00896038">
              <w:rPr>
                <w:rFonts w:ascii="Arial Narrow" w:hAnsi="Arial Narrow"/>
                <w:sz w:val="16"/>
                <w:szCs w:val="16"/>
                <w:lang w:val="sk-SK"/>
              </w:rPr>
              <w:t>SE</w:t>
            </w:r>
          </w:p>
        </w:tc>
        <w:tc>
          <w:tcPr>
            <w:tcW w:w="7219" w:type="dxa"/>
          </w:tcPr>
          <w:p w14:paraId="324A4248" w14:textId="1EBE12CA" w:rsidR="00163A38" w:rsidRPr="00161D08" w:rsidRDefault="00163A38" w:rsidP="00163A38">
            <w:pPr>
              <w:shd w:val="clear" w:color="auto" w:fill="F8F9FA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16A4">
              <w:rPr>
                <w:rFonts w:ascii="Arial" w:hAnsi="Arial" w:cs="Arial"/>
                <w:color w:val="000000"/>
                <w:sz w:val="16"/>
                <w:szCs w:val="16"/>
              </w:rPr>
              <w:t>Dietmar-Hopp-Allee 16, </w:t>
            </w:r>
            <w:r w:rsidR="00FA16A4" w:rsidRPr="00161D08">
              <w:rPr>
                <w:rFonts w:ascii="Arial" w:hAnsi="Arial" w:cs="Arial"/>
                <w:color w:val="000000"/>
                <w:sz w:val="16"/>
                <w:szCs w:val="16"/>
              </w:rPr>
              <w:t>Walldorf</w:t>
            </w:r>
            <w:r w:rsidRPr="00FA16A4">
              <w:rPr>
                <w:rFonts w:ascii="Arial" w:hAnsi="Arial" w:cs="Arial"/>
                <w:color w:val="000000"/>
                <w:sz w:val="16"/>
                <w:szCs w:val="16"/>
              </w:rPr>
              <w:t>, </w:t>
            </w:r>
            <w:r w:rsidR="00FA16A4" w:rsidRPr="00161D08">
              <w:rPr>
                <w:rFonts w:ascii="Arial" w:hAnsi="Arial" w:cs="Arial"/>
                <w:color w:val="000000"/>
                <w:sz w:val="16"/>
                <w:szCs w:val="16"/>
              </w:rPr>
              <w:t>Baden-Württemberg</w:t>
            </w:r>
            <w:r w:rsidRPr="00FA16A4">
              <w:rPr>
                <w:rFonts w:ascii="Arial" w:hAnsi="Arial" w:cs="Arial"/>
                <w:color w:val="000000"/>
                <w:sz w:val="16"/>
                <w:szCs w:val="16"/>
              </w:rPr>
              <w:t>, Germany</w:t>
            </w:r>
          </w:p>
          <w:p w14:paraId="0F7D2BA3" w14:textId="6D9999DC" w:rsidR="00110F56" w:rsidRPr="00161D08" w:rsidRDefault="00110F56" w:rsidP="006520A9">
            <w:pPr>
              <w:pStyle w:val="Textvtabulce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10F56" w:rsidRPr="00C83F68" w14:paraId="36B75CD7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23C83FB0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SAP Support portal</w:t>
            </w:r>
          </w:p>
        </w:tc>
        <w:tc>
          <w:tcPr>
            <w:tcW w:w="7219" w:type="dxa"/>
          </w:tcPr>
          <w:p w14:paraId="544002C7" w14:textId="0E887342" w:rsidR="00110F56" w:rsidRPr="00C83F68" w:rsidRDefault="00110F56" w:rsidP="006520A9">
            <w:pPr>
              <w:pStyle w:val="Textvtabulce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Servisný systém - databáza, ktorá obsahuje informácie a umožňuje komunikáciu s 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om systému SAP </w:t>
            </w:r>
          </w:p>
        </w:tc>
      </w:tr>
      <w:tr w:rsidR="00110F56" w:rsidRPr="00C83F68" w14:paraId="5C9BF11F" w14:textId="77777777" w:rsidTr="006520A9">
        <w:trPr>
          <w:cantSplit/>
        </w:trPr>
        <w:tc>
          <w:tcPr>
            <w:tcW w:w="2420" w:type="dxa"/>
          </w:tcPr>
          <w:p w14:paraId="33718810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Softvér tretej strany</w:t>
            </w:r>
          </w:p>
        </w:tc>
        <w:tc>
          <w:tcPr>
            <w:tcW w:w="7219" w:type="dxa"/>
          </w:tcPr>
          <w:p w14:paraId="257D8D21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Zmluvné strany rozumejú softvérové programy, ktoré sú zabudované v systéme (licencovanom programe), alebo sú vyžadované na jeho používanie, vrátane - ale bez obmedzenia na - softvérových programov Oracle a/alebo iných softvérových programov.</w:t>
            </w:r>
          </w:p>
        </w:tc>
      </w:tr>
      <w:tr w:rsidR="00110F56" w:rsidRPr="00C83F68" w14:paraId="10548E6B" w14:textId="77777777" w:rsidTr="006520A9">
        <w:trPr>
          <w:cantSplit/>
        </w:trPr>
        <w:tc>
          <w:tcPr>
            <w:tcW w:w="2420" w:type="dxa"/>
          </w:tcPr>
          <w:p w14:paraId="657E0CB3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Spracovanie transportu</w:t>
            </w:r>
          </w:p>
        </w:tc>
        <w:tc>
          <w:tcPr>
            <w:tcW w:w="7219" w:type="dxa"/>
          </w:tcPr>
          <w:p w14:paraId="2FBA1215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Vytvorenie, zmena a výmaz transportu vo vývojovom prostredí, uvoľnenie transportu do testovacieho prostredia, import transportu (ktorý sa nachádza v transportnom systéme testovacieho prostredia)  do testovacieho prostredia, otestovanie úpravy/opravy/zmeny/doplnenia realizovanej transportom, uvoľnenie a zaradenie do transportného systému na produkčnom prostredí a následné schválenie a import transportu do produkčného prostredia.</w:t>
            </w:r>
          </w:p>
        </w:tc>
      </w:tr>
      <w:tr w:rsidR="00110F56" w:rsidRPr="00C83F68" w14:paraId="039C7B12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16E849BC" w14:textId="23BA5D8E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Sprievodná dokumentácia systému</w:t>
            </w:r>
          </w:p>
        </w:tc>
        <w:tc>
          <w:tcPr>
            <w:tcW w:w="7219" w:type="dxa"/>
          </w:tcPr>
          <w:p w14:paraId="686160E0" w14:textId="3FA3DB5D" w:rsidR="00110F56" w:rsidRPr="00C83F68" w:rsidRDefault="00110F56" w:rsidP="006520A9">
            <w:pPr>
              <w:pStyle w:val="PlainText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C83F68">
              <w:rPr>
                <w:rFonts w:ascii="Arial Narrow" w:hAnsi="Arial Narrow"/>
                <w:sz w:val="16"/>
                <w:szCs w:val="16"/>
              </w:rPr>
              <w:t>Sprievodnú dokumentáciu systému predstavuje:</w:t>
            </w:r>
          </w:p>
          <w:p w14:paraId="7ACE5853" w14:textId="0C236344" w:rsidR="00110F56" w:rsidRPr="00C83F68" w:rsidRDefault="00110F56" w:rsidP="006520A9">
            <w:pPr>
              <w:pStyle w:val="PlainText"/>
              <w:numPr>
                <w:ilvl w:val="0"/>
                <w:numId w:val="23"/>
              </w:numPr>
              <w:tabs>
                <w:tab w:val="clear" w:pos="1069"/>
                <w:tab w:val="num" w:pos="390"/>
              </w:tabs>
              <w:ind w:left="390" w:hanging="39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C83F68">
              <w:rPr>
                <w:rFonts w:ascii="Arial Narrow" w:hAnsi="Arial Narrow"/>
                <w:sz w:val="16"/>
                <w:szCs w:val="16"/>
              </w:rPr>
              <w:t>vývojová dokumentácia systému,</w:t>
            </w:r>
          </w:p>
          <w:p w14:paraId="591F5805" w14:textId="44A3F16F" w:rsidR="00110F56" w:rsidRPr="00C83F68" w:rsidRDefault="00110F56" w:rsidP="006520A9">
            <w:pPr>
              <w:pStyle w:val="PlainText"/>
              <w:numPr>
                <w:ilvl w:val="0"/>
                <w:numId w:val="23"/>
              </w:numPr>
              <w:tabs>
                <w:tab w:val="clear" w:pos="1069"/>
                <w:tab w:val="num" w:pos="390"/>
              </w:tabs>
              <w:ind w:left="390" w:hanging="39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C83F68">
              <w:rPr>
                <w:rFonts w:ascii="Arial Narrow" w:hAnsi="Arial Narrow"/>
                <w:sz w:val="16"/>
                <w:szCs w:val="16"/>
              </w:rPr>
              <w:t>technická dokumentácia systému,</w:t>
            </w:r>
          </w:p>
          <w:p w14:paraId="22809900" w14:textId="6071FEF9" w:rsidR="00110F56" w:rsidRPr="00C83F68" w:rsidRDefault="00110F56" w:rsidP="006520A9">
            <w:pPr>
              <w:pStyle w:val="PlainText"/>
              <w:numPr>
                <w:ilvl w:val="0"/>
                <w:numId w:val="23"/>
              </w:numPr>
              <w:tabs>
                <w:tab w:val="clear" w:pos="1069"/>
                <w:tab w:val="num" w:pos="390"/>
              </w:tabs>
              <w:ind w:left="390" w:hanging="39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C83F68">
              <w:rPr>
                <w:rFonts w:ascii="Arial Narrow" w:hAnsi="Arial Narrow"/>
                <w:sz w:val="16"/>
                <w:szCs w:val="16"/>
              </w:rPr>
              <w:t>používateľská dokumentácia systému,</w:t>
            </w:r>
          </w:p>
          <w:p w14:paraId="3A7A5F08" w14:textId="104F7385" w:rsidR="00110F56" w:rsidRPr="00C83F68" w:rsidRDefault="00110F56" w:rsidP="006520A9">
            <w:pPr>
              <w:pStyle w:val="Textvtabulce"/>
              <w:numPr>
                <w:ilvl w:val="0"/>
                <w:numId w:val="23"/>
              </w:numPr>
              <w:tabs>
                <w:tab w:val="clear" w:pos="1069"/>
                <w:tab w:val="num" w:pos="390"/>
              </w:tabs>
              <w:ind w:left="390" w:hanging="39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inštalačná dokumentácia systému.</w:t>
            </w:r>
          </w:p>
        </w:tc>
      </w:tr>
      <w:tr w:rsidR="00110F56" w:rsidRPr="00C83F68" w14:paraId="18AFCA5F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252A07C1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Sprístupniť, Sprístupnenie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</w:p>
        </w:tc>
        <w:tc>
          <w:tcPr>
            <w:tcW w:w="7219" w:type="dxa"/>
          </w:tcPr>
          <w:p w14:paraId="58784304" w14:textId="284A83CC" w:rsidR="00110F56" w:rsidRPr="00C83F68" w:rsidRDefault="00110F56" w:rsidP="006520A9">
            <w:pPr>
              <w:pStyle w:val="Textvtabulce"/>
              <w:jc w:val="both"/>
              <w:rPr>
                <w:rFonts w:ascii="Arial Narrow" w:hAnsi="Arial Narrow"/>
                <w:i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Znamená, že objednávateľ je oprávnený zapožičať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ovi médiá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, Sprievodnú Dokumentáciu k 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a Ostatné náležitosti patriace k 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, aby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mohol vykonať inštalácie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v mieste objednávateľa a 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a a zapožičať licencie a kľúče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na účely realizácie vývoja, zmien, rozšírenia a údržby systému počas realizácie projektu pre objednávateľa a na účely údržby a servisu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v prípade vykonávania údržby a servisu pre objednávateľa na základe tejto Servisnej zmluvy, všetko pri zachovaní obmedzení a </w:t>
            </w:r>
            <w:r w:rsidR="00D30F80">
              <w:rPr>
                <w:rFonts w:ascii="Arial Narrow" w:hAnsi="Arial Narrow"/>
                <w:sz w:val="16"/>
                <w:szCs w:val="16"/>
                <w:lang w:val="sk-SK"/>
              </w:rPr>
              <w:t>do</w:t>
            </w:r>
            <w:r w:rsidR="00D30F80"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jednaní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podľa tejto </w:t>
            </w:r>
            <w:r w:rsidR="00C10DB2">
              <w:rPr>
                <w:rFonts w:ascii="Arial Narrow" w:hAnsi="Arial Narrow"/>
                <w:sz w:val="16"/>
                <w:szCs w:val="16"/>
                <w:lang w:val="sk-SK"/>
              </w:rPr>
              <w:t>Servisnej zm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luvy.</w:t>
            </w:r>
          </w:p>
        </w:tc>
      </w:tr>
      <w:tr w:rsidR="00110F56" w:rsidRPr="00C83F68" w14:paraId="6AC41744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2AF350CA" w14:textId="77777777" w:rsidR="00110F56" w:rsidRPr="00C83F68" w:rsidRDefault="00110F56" w:rsidP="006520A9">
            <w:pPr>
              <w:pStyle w:val="Textvtabulce"/>
              <w:tabs>
                <w:tab w:val="left" w:pos="1170"/>
              </w:tabs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Systém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</w:p>
        </w:tc>
        <w:tc>
          <w:tcPr>
            <w:tcW w:w="7219" w:type="dxa"/>
          </w:tcPr>
          <w:p w14:paraId="536F2AA6" w14:textId="6A2EADBB" w:rsidR="00110F56" w:rsidRPr="00C83F68" w:rsidRDefault="00CD3694" w:rsidP="006520A9">
            <w:pPr>
              <w:pStyle w:val="Textvtabulce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Počítačový program</w:t>
            </w:r>
            <w:r>
              <w:rPr>
                <w:rFonts w:ascii="Arial Narrow" w:hAnsi="Arial Narrow"/>
                <w:sz w:val="16"/>
                <w:szCs w:val="16"/>
                <w:lang w:val="sk-SK"/>
              </w:rPr>
              <w:t xml:space="preserve"> </w:t>
            </w:r>
            <w:r w:rsidR="00161D08">
              <w:rPr>
                <w:rFonts w:ascii="Arial Narrow" w:hAnsi="Arial Narrow"/>
                <w:sz w:val="16"/>
                <w:szCs w:val="16"/>
                <w:lang w:val="sk-SK"/>
              </w:rPr>
              <w:t>vytvorený</w:t>
            </w:r>
            <w:r>
              <w:rPr>
                <w:rFonts w:ascii="Arial Narrow" w:hAnsi="Arial Narrow"/>
                <w:sz w:val="16"/>
                <w:szCs w:val="16"/>
                <w:lang w:val="sk-SK"/>
              </w:rPr>
              <w:t xml:space="preserve"> spoločnosťou SAP SE</w:t>
            </w:r>
          </w:p>
        </w:tc>
      </w:tr>
      <w:tr w:rsidR="00110F56" w:rsidRPr="00C83F68" w14:paraId="416679CD" w14:textId="77777777" w:rsidTr="006520A9">
        <w:trPr>
          <w:cantSplit/>
        </w:trPr>
        <w:tc>
          <w:tcPr>
            <w:tcW w:w="2420" w:type="dxa"/>
          </w:tcPr>
          <w:p w14:paraId="7FBD7A4B" w14:textId="76F32D19" w:rsidR="00110F56" w:rsidRPr="00C83F68" w:rsidRDefault="00DE53E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>
              <w:rPr>
                <w:rFonts w:ascii="Arial Narrow" w:hAnsi="Arial Narrow"/>
                <w:sz w:val="16"/>
                <w:szCs w:val="16"/>
                <w:lang w:val="sk-SK"/>
              </w:rPr>
              <w:t>IS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</w:t>
            </w:r>
            <w:r w:rsidR="00110F56"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FINU/HRO </w:t>
            </w:r>
          </w:p>
        </w:tc>
        <w:tc>
          <w:tcPr>
            <w:tcW w:w="7219" w:type="dxa"/>
          </w:tcPr>
          <w:p w14:paraId="23099359" w14:textId="0A4286EB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Systém FINU/HRO znamená informačný systém/systémy pozostávajúci z modulov, komponentov, objektov, programov, procedúr, funkcií, aplikačnej logiky a služieb, bezpečnostných a prezentačných služieb, databázy a databázových objektov pre finančné účtovníctvo a/alebo hospodárenie a rozpočet, či v tlačenej, alebo strojom čitateľnej forme</w:t>
            </w:r>
            <w:r w:rsidR="00CB2ABD">
              <w:rPr>
                <w:rFonts w:ascii="Arial Narrow" w:hAnsi="Arial Narrow"/>
                <w:sz w:val="16"/>
                <w:szCs w:val="16"/>
                <w:lang w:val="sk-SK"/>
              </w:rPr>
              <w:t>,</w:t>
            </w:r>
          </w:p>
        </w:tc>
      </w:tr>
      <w:tr w:rsidR="00110F56" w:rsidRPr="00C83F68" w14:paraId="5FB1BFF9" w14:textId="77777777" w:rsidTr="006520A9">
        <w:trPr>
          <w:cantSplit/>
        </w:trPr>
        <w:tc>
          <w:tcPr>
            <w:tcW w:w="2420" w:type="dxa"/>
          </w:tcPr>
          <w:p w14:paraId="135B775B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Testovacie prostredie</w:t>
            </w:r>
          </w:p>
        </w:tc>
        <w:tc>
          <w:tcPr>
            <w:tcW w:w="7219" w:type="dxa"/>
          </w:tcPr>
          <w:p w14:paraId="36FE9548" w14:textId="4FA5EFCC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Zmluvné strany rozumejú technické zariadenia a programové vybavenie (softvér) nachádzajúce sa u objednávateľa vrátane nastavenia ich parametrov nasledovne: testovací databázový server vrátane všetkých jeho zariadení, resp. samostatná logická partícia testovacieho databázového servera umožňujúca samostatnú a od ostatných častí nezávislú administráciu a prevádzku databázového servera </w:t>
            </w:r>
            <w:r w:rsidR="00EF1681" w:rsidRPr="007E07EE">
              <w:rPr>
                <w:rFonts w:ascii="Arial Narrow" w:hAnsi="Arial Narrow"/>
                <w:sz w:val="16"/>
                <w:szCs w:val="16"/>
                <w:lang w:val="sk-SK"/>
              </w:rPr>
              <w:t>Oracle 1</w:t>
            </w:r>
            <w:r w:rsidR="007E07EE" w:rsidRPr="007E07EE">
              <w:rPr>
                <w:rFonts w:ascii="Arial Narrow" w:hAnsi="Arial Narrow"/>
                <w:sz w:val="16"/>
                <w:szCs w:val="16"/>
                <w:lang w:val="sk-SK"/>
              </w:rPr>
              <w:t>2</w:t>
            </w:r>
            <w:r w:rsidR="00EF1681" w:rsidRPr="007E07EE">
              <w:rPr>
                <w:rFonts w:ascii="Arial Narrow" w:hAnsi="Arial Narrow"/>
                <w:sz w:val="16"/>
                <w:szCs w:val="16"/>
                <w:lang w:val="sk-SK"/>
              </w:rPr>
              <w:t>.</w:t>
            </w:r>
            <w:r w:rsidR="007E07EE" w:rsidRPr="007E07EE">
              <w:rPr>
                <w:rFonts w:ascii="Arial Narrow" w:hAnsi="Arial Narrow"/>
                <w:sz w:val="16"/>
                <w:szCs w:val="16"/>
                <w:lang w:val="sk-SK"/>
              </w:rPr>
              <w:t>1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a databázových častí inštalovaného systému, testovací aplikačný server vrátane všetkých jeho zariadení umožňujúci samostatnú a od ostatných častí nezávislú administráciu a prevádzku tohto testovacieho servera a aplikačných komponentov a programov inštalovaného systému, klientske (používateľské) stanice (na báze PC), iné servery, prvky a zariadenia lokálnej počítačovej siete objednávateľa, ktorou sú tieto počítače prepojené, operačný systém testovacieho databázového servera, operačný systém testovacieho aplikačného servera a ostatných serverov lokálnej počítačovej siete objednávateľa, operačný systém klientskej stanice, softvér (programové vybavenie) lokálnej počítačovej siete objednávateľa, databázového servera </w:t>
            </w:r>
            <w:r w:rsidR="00EF1681" w:rsidRPr="007E07EE">
              <w:rPr>
                <w:rFonts w:ascii="Arial Narrow" w:hAnsi="Arial Narrow"/>
                <w:sz w:val="16"/>
                <w:szCs w:val="16"/>
                <w:lang w:val="sk-SK"/>
              </w:rPr>
              <w:t>Oracle 1</w:t>
            </w:r>
            <w:r w:rsidR="007E07EE" w:rsidRPr="007E07EE">
              <w:rPr>
                <w:rFonts w:ascii="Arial Narrow" w:hAnsi="Arial Narrow"/>
                <w:sz w:val="16"/>
                <w:szCs w:val="16"/>
                <w:lang w:val="sk-SK"/>
              </w:rPr>
              <w:t>2</w:t>
            </w:r>
            <w:r w:rsidR="00EF1681" w:rsidRPr="007E07EE">
              <w:rPr>
                <w:rFonts w:ascii="Arial Narrow" w:hAnsi="Arial Narrow"/>
                <w:sz w:val="16"/>
                <w:szCs w:val="16"/>
                <w:lang w:val="sk-SK"/>
              </w:rPr>
              <w:t>.</w:t>
            </w:r>
            <w:r w:rsidR="007E07EE" w:rsidRPr="007E07EE">
              <w:rPr>
                <w:rFonts w:ascii="Arial Narrow" w:hAnsi="Arial Narrow"/>
                <w:sz w:val="16"/>
                <w:szCs w:val="16"/>
                <w:lang w:val="sk-SK"/>
              </w:rPr>
              <w:t>1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, aplikačný server, komunikačný softvér objednávateľa, inštalované moduly, komponenty a programy systému na všetkých vrstvách systému.</w:t>
            </w:r>
          </w:p>
        </w:tc>
      </w:tr>
      <w:tr w:rsidR="00110F56" w:rsidRPr="00C83F68" w14:paraId="0BC14F00" w14:textId="77777777" w:rsidTr="006520A9">
        <w:trPr>
          <w:cantSplit/>
        </w:trPr>
        <w:tc>
          <w:tcPr>
            <w:tcW w:w="2420" w:type="dxa"/>
          </w:tcPr>
          <w:p w14:paraId="411EA4F9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Transport</w:t>
            </w:r>
          </w:p>
        </w:tc>
        <w:tc>
          <w:tcPr>
            <w:tcW w:w="7219" w:type="dxa"/>
          </w:tcPr>
          <w:p w14:paraId="4FABC56A" w14:textId="2BED4FBC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Úprava/oprava/zmena/doplnenie/nastavenie systému vykonané prenosom z vývojového na testovacie a/alebo produkčné prostredie</w:t>
            </w:r>
          </w:p>
        </w:tc>
      </w:tr>
      <w:tr w:rsidR="00110F56" w:rsidRPr="00C83F68" w14:paraId="4A4B2ACD" w14:textId="77777777" w:rsidTr="006520A9">
        <w:trPr>
          <w:cantSplit/>
        </w:trPr>
        <w:tc>
          <w:tcPr>
            <w:tcW w:w="2420" w:type="dxa"/>
          </w:tcPr>
          <w:p w14:paraId="12005E29" w14:textId="77777777" w:rsidR="00110F56" w:rsidRPr="00C83F68" w:rsidRDefault="00110F56" w:rsidP="006520A9">
            <w:pPr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Účastník servisnej služby</w:t>
            </w:r>
          </w:p>
        </w:tc>
        <w:tc>
          <w:tcPr>
            <w:tcW w:w="7219" w:type="dxa"/>
          </w:tcPr>
          <w:p w14:paraId="33291659" w14:textId="4A18A4FB" w:rsidR="00110F56" w:rsidRPr="00C83F68" w:rsidRDefault="00110F56" w:rsidP="006520A9">
            <w:pPr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Účastníkmi servisnej služby sú výhradne zmluvné strany, t. j. objednávateľ a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</w:p>
        </w:tc>
      </w:tr>
      <w:tr w:rsidR="00110F56" w:rsidRPr="00C83F68" w14:paraId="0F916957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40B5C57A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Vážna vada</w:t>
            </w:r>
          </w:p>
        </w:tc>
        <w:tc>
          <w:tcPr>
            <w:tcW w:w="7219" w:type="dxa"/>
          </w:tcPr>
          <w:p w14:paraId="1865AC58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Je definovaná v rámci klasifikácie zásadný incident</w:t>
            </w:r>
          </w:p>
        </w:tc>
      </w:tr>
      <w:tr w:rsidR="00110F56" w:rsidRPr="00C83F68" w14:paraId="2F3F8945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5882D904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Vývojový kľúč</w:t>
            </w:r>
          </w:p>
          <w:p w14:paraId="2ECC40F3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</w:p>
          <w:p w14:paraId="6CE48397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  <w:tc>
          <w:tcPr>
            <w:tcW w:w="7219" w:type="dxa"/>
          </w:tcPr>
          <w:p w14:paraId="1599257A" w14:textId="77777777" w:rsidR="00110F56" w:rsidRPr="00C83F68" w:rsidRDefault="00110F56" w:rsidP="006520A9">
            <w:pPr>
              <w:pStyle w:val="Textvtabulce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20-miestny numerický kľúč umožňujúci modifikácie a korektúry štandardných a vývoj nových zákazníckych SAP-objektov. Zadávanie požiadaviek na prístupové klúče pre zmenu a registrácia zmien štandardných objektov systému SAP sa vykonáva na SAP Support portale a môže ich vykonávať len osoba, ktorá má oprávnenie pre zadávanie požiadaviek na prístupové klúče pre zmenu a registráciu zmien štandardných. </w:t>
            </w:r>
          </w:p>
        </w:tc>
      </w:tr>
      <w:tr w:rsidR="00110F56" w:rsidRPr="00C83F68" w14:paraId="70D4C8A2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3381EEA3" w14:textId="77777777" w:rsidR="00110F56" w:rsidRPr="00C83F68" w:rsidRDefault="00110F56" w:rsidP="006520A9">
            <w:pPr>
              <w:pStyle w:val="Textvtabulce"/>
              <w:spacing w:before="120" w:after="1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Vývojové prostredie </w:t>
            </w:r>
          </w:p>
        </w:tc>
        <w:tc>
          <w:tcPr>
            <w:tcW w:w="7219" w:type="dxa"/>
          </w:tcPr>
          <w:p w14:paraId="1AACC380" w14:textId="5DF4EABD" w:rsidR="00110F56" w:rsidRPr="00C83F68" w:rsidRDefault="005C1045" w:rsidP="006520A9">
            <w:pPr>
              <w:pStyle w:val="Textvtabulce"/>
              <w:spacing w:before="120" w:after="1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>
              <w:rPr>
                <w:rFonts w:ascii="Arial Narrow" w:hAnsi="Arial Narrow"/>
                <w:sz w:val="16"/>
                <w:szCs w:val="16"/>
                <w:lang w:val="sk-SK"/>
              </w:rPr>
              <w:t>S</w:t>
            </w:r>
            <w:r w:rsidR="00110F56"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ystém, ktorý je inštalovaný a sprístupnený v mieste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="00110F56" w:rsidRPr="00C83F68">
              <w:rPr>
                <w:rFonts w:ascii="Arial Narrow" w:hAnsi="Arial Narrow"/>
                <w:sz w:val="16"/>
                <w:szCs w:val="16"/>
                <w:lang w:val="sk-SK"/>
              </w:rPr>
              <w:t>a a/alebo objednávateľa</w:t>
            </w:r>
          </w:p>
        </w:tc>
      </w:tr>
      <w:tr w:rsidR="00110F56" w:rsidRPr="00C83F68" w14:paraId="384226D0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2E21E577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Začiatok  spracovania nasledovného  účtovného dňa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7219" w:type="dxa"/>
          </w:tcPr>
          <w:p w14:paraId="656CCE62" w14:textId="77777777" w:rsidR="00110F56" w:rsidRPr="00C83F68" w:rsidRDefault="00110F56" w:rsidP="006520A9">
            <w:pPr>
              <w:pStyle w:val="Textvtabulce"/>
              <w:jc w:val="both"/>
              <w:rPr>
                <w:rFonts w:ascii="Arial Narrow" w:hAnsi="Arial Narrow"/>
                <w:b/>
                <w:bCs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Začiatkom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 xml:space="preserve">spracovania nasledovného 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účtovného dňa sa pre potreby tejto zmluvy rozumie </w:t>
            </w:r>
            <w:r w:rsidRPr="00C83F68">
              <w:rPr>
                <w:rFonts w:ascii="Arial Narrow" w:hAnsi="Arial Narrow"/>
                <w:b/>
                <w:bCs/>
                <w:sz w:val="16"/>
                <w:szCs w:val="16"/>
                <w:lang w:val="sk-SK"/>
              </w:rPr>
              <w:t>čas od  7.00 h</w:t>
            </w:r>
          </w:p>
          <w:p w14:paraId="1A3682BC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</w:p>
        </w:tc>
      </w:tr>
      <w:tr w:rsidR="00110F56" w:rsidRPr="00C83F68" w14:paraId="57AAEFBF" w14:textId="77777777" w:rsidTr="006520A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5CD7BC19" w14:textId="77777777" w:rsidR="00110F56" w:rsidRPr="00C83F68" w:rsidRDefault="00110F56" w:rsidP="006520A9">
            <w:pPr>
              <w:pStyle w:val="Textvtabulce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Zmeny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</w:p>
        </w:tc>
        <w:tc>
          <w:tcPr>
            <w:tcW w:w="7219" w:type="dxa"/>
          </w:tcPr>
          <w:p w14:paraId="5B57F04F" w14:textId="438AC093" w:rsidR="00110F56" w:rsidRPr="00C83F68" w:rsidRDefault="00110F56" w:rsidP="006520A9">
            <w:pPr>
              <w:pStyle w:val="Textvtabulce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Zmena znamená zásah do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zmenou zdrojového kódu (parametrizácie nie sú považované za zmeny). 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br/>
              <w:t xml:space="preserve">K vykonaniu zmien potrebuje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pridelenie vývojového kľúča od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a Systému </w:t>
            </w:r>
            <w:r w:rsidRPr="00C83F68">
              <w:rPr>
                <w:rFonts w:ascii="Arial Narrow" w:hAnsi="Arial Narrow"/>
                <w:color w:val="000000"/>
                <w:sz w:val="16"/>
                <w:szCs w:val="16"/>
                <w:lang w:val="sk-SK"/>
              </w:rPr>
              <w:t>SAP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.</w:t>
            </w:r>
          </w:p>
        </w:tc>
      </w:tr>
      <w:tr w:rsidR="00110F56" w:rsidRPr="00C83F68" w14:paraId="33310775" w14:textId="77777777" w:rsidTr="006520A9">
        <w:trPr>
          <w:cantSplit/>
        </w:trPr>
        <w:tc>
          <w:tcPr>
            <w:tcW w:w="2420" w:type="dxa"/>
          </w:tcPr>
          <w:p w14:paraId="53BC658D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SAP note</w:t>
            </w:r>
          </w:p>
        </w:tc>
        <w:tc>
          <w:tcPr>
            <w:tcW w:w="7219" w:type="dxa"/>
          </w:tcPr>
          <w:p w14:paraId="7D90B307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Záznam, ktorý je umiestnený v databáze vedomostí SAP. SAP Note obsahuje popis prejavu chyby, príčinu vzniku chyby, popis zmeny a/alebo rozšírenia zdrojového kódu Systému, popis úprav Systému, samotný zdrojový kód zmeny a/alebo rozšírenia Systému, odkazy na Suport Packages, nastavenia parametrov systému, prípadne ďalšie informácie týkajúce sa úpravy Systému umiestnené v databáze vedomostí SAP.</w:t>
            </w:r>
          </w:p>
        </w:tc>
      </w:tr>
      <w:tr w:rsidR="00110F56" w:rsidRPr="00C83F68" w14:paraId="395FDF1E" w14:textId="77777777" w:rsidTr="006520A9">
        <w:trPr>
          <w:cantSplit/>
          <w:trHeight w:val="200"/>
        </w:trPr>
        <w:tc>
          <w:tcPr>
            <w:tcW w:w="2420" w:type="dxa"/>
          </w:tcPr>
          <w:p w14:paraId="7AF7ED57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SAP Note Assistant</w:t>
            </w:r>
          </w:p>
        </w:tc>
        <w:tc>
          <w:tcPr>
            <w:tcW w:w="7219" w:type="dxa"/>
          </w:tcPr>
          <w:p w14:paraId="14591AA5" w14:textId="77777777" w:rsidR="00110F56" w:rsidRPr="00C83F68" w:rsidRDefault="00110F56" w:rsidP="006520A9">
            <w:pPr>
              <w:spacing w:before="120" w:after="1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Nástroj na inštaláciu a administráciu špecifických úprav a zlepšení k SAP komponentom, ktoré sú obsiahnuté v SAP Notes</w:t>
            </w:r>
            <w:r w:rsidRPr="00C83F68">
              <w:rPr>
                <w:rFonts w:ascii="Arial Narrow" w:hAnsi="Arial Narrow"/>
                <w:color w:val="0000FF"/>
                <w:sz w:val="16"/>
                <w:szCs w:val="16"/>
                <w:lang w:val="sk-SK"/>
              </w:rPr>
              <w:t>.</w:t>
            </w:r>
          </w:p>
        </w:tc>
      </w:tr>
      <w:tr w:rsidR="00110F56" w:rsidRPr="00C83F68" w14:paraId="7797EFE0" w14:textId="77777777" w:rsidTr="006520A9">
        <w:trPr>
          <w:cantSplit/>
          <w:trHeight w:val="577"/>
        </w:trPr>
        <w:tc>
          <w:tcPr>
            <w:tcW w:w="2420" w:type="dxa"/>
          </w:tcPr>
          <w:p w14:paraId="2DFF5E10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lastRenderedPageBreak/>
              <w:t>Support Package</w:t>
            </w:r>
          </w:p>
        </w:tc>
        <w:tc>
          <w:tcPr>
            <w:tcW w:w="7219" w:type="dxa"/>
          </w:tcPr>
          <w:p w14:paraId="38C84F53" w14:textId="77777777" w:rsidR="00110F56" w:rsidRPr="00C83F68" w:rsidRDefault="00110F56" w:rsidP="006520A9">
            <w:pPr>
              <w:pStyle w:val="weeklies"/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Balík úprav Systému, ktorý je možné vykonávať len ako celok a v definovanom poradí. Support Package obsahuje všetky kritické SAP Notes, všetky potrebné informácie a zdrojové kódy na realizáciu požadovanej úpravy Systému. Support Packages je určený na zníženie úsilia s implementáciou jednotlivých úprav Systému, ktoré by bolo potrebné vykonať na úpravu Systému samostatne a v určenom poradí. Pri ostatných vadách sa vykoná odstránenie v nasledujúcej Verzii.</w:t>
            </w:r>
          </w:p>
        </w:tc>
      </w:tr>
      <w:tr w:rsidR="00110F56" w:rsidRPr="00C83F68" w14:paraId="15FDA8F3" w14:textId="77777777" w:rsidTr="006520A9">
        <w:trPr>
          <w:cantSplit/>
        </w:trPr>
        <w:tc>
          <w:tcPr>
            <w:tcW w:w="2420" w:type="dxa"/>
          </w:tcPr>
          <w:p w14:paraId="1ADA6494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ABAP Support package manager</w:t>
            </w:r>
          </w:p>
        </w:tc>
        <w:tc>
          <w:tcPr>
            <w:tcW w:w="7219" w:type="dxa"/>
          </w:tcPr>
          <w:p w14:paraId="47515383" w14:textId="77777777" w:rsidR="00110F56" w:rsidRPr="00C83F68" w:rsidRDefault="00110F56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Nástroj na inštaláciu a administráciu špecifických úprav a zlepšení k SAP komponentom, ktoré sú obsiahnuté v  Support Packages</w:t>
            </w:r>
            <w:r w:rsidRPr="00C83F68">
              <w:rPr>
                <w:rFonts w:ascii="Arial Narrow" w:hAnsi="Arial Narrow"/>
                <w:color w:val="0000FF"/>
                <w:sz w:val="16"/>
                <w:szCs w:val="16"/>
                <w:lang w:val="sk-SK"/>
              </w:rPr>
              <w:t>.</w:t>
            </w:r>
          </w:p>
        </w:tc>
      </w:tr>
      <w:tr w:rsidR="00110F56" w:rsidRPr="00C83F68" w14:paraId="12A09964" w14:textId="77777777" w:rsidTr="006520A9">
        <w:trPr>
          <w:cantSplit/>
        </w:trPr>
        <w:tc>
          <w:tcPr>
            <w:tcW w:w="2420" w:type="dxa"/>
          </w:tcPr>
          <w:p w14:paraId="3F473C62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Dostupnosť služby</w:t>
            </w:r>
          </w:p>
        </w:tc>
        <w:tc>
          <w:tcPr>
            <w:tcW w:w="7219" w:type="dxa"/>
          </w:tcPr>
          <w:p w14:paraId="2AE447BB" w14:textId="34D01BB2" w:rsidR="00110F56" w:rsidRPr="00C83F68" w:rsidRDefault="00110F56" w:rsidP="0046630A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Čas, kedy je služba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om poskytovaná objednávateľovi.</w:t>
            </w:r>
          </w:p>
        </w:tc>
      </w:tr>
      <w:tr w:rsidR="00110F56" w:rsidRPr="00C83F68" w14:paraId="44C4926D" w14:textId="77777777" w:rsidTr="006520A9">
        <w:trPr>
          <w:cantSplit/>
        </w:trPr>
        <w:tc>
          <w:tcPr>
            <w:tcW w:w="2420" w:type="dxa"/>
          </w:tcPr>
          <w:p w14:paraId="36295D9B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Doba odozvy</w:t>
            </w:r>
          </w:p>
        </w:tc>
        <w:tc>
          <w:tcPr>
            <w:tcW w:w="7219" w:type="dxa"/>
          </w:tcPr>
          <w:p w14:paraId="6BF8D9B3" w14:textId="2EC353B5" w:rsidR="00110F56" w:rsidRPr="00C83F68" w:rsidRDefault="00110F56" w:rsidP="0046630A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Časové obdobie, počas ktorého je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povinný začať vykonávať príslušnú činnosť od nahlásenia požiadavky objednávateľa na jej vykonanie.</w:t>
            </w:r>
          </w:p>
        </w:tc>
      </w:tr>
      <w:tr w:rsidR="00110F56" w:rsidRPr="00C83F68" w14:paraId="7E5471BE" w14:textId="77777777" w:rsidTr="006520A9">
        <w:trPr>
          <w:cantSplit/>
        </w:trPr>
        <w:tc>
          <w:tcPr>
            <w:tcW w:w="2420" w:type="dxa"/>
          </w:tcPr>
          <w:p w14:paraId="443236BD" w14:textId="77777777" w:rsidR="00110F56" w:rsidRPr="00C83F68" w:rsidRDefault="00110F56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>Lehota služby</w:t>
            </w:r>
          </w:p>
        </w:tc>
        <w:tc>
          <w:tcPr>
            <w:tcW w:w="7219" w:type="dxa"/>
          </w:tcPr>
          <w:p w14:paraId="556AD404" w14:textId="3CF7FEC9" w:rsidR="00110F56" w:rsidRPr="00C83F68" w:rsidRDefault="00110F56" w:rsidP="0046630A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Časové obdobie, počas ktorého je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povinný dokončiť vykonávanie príslušnej činnosti od prevzatia požiadavky objednávateľa na jej vykonanie. V prípade zásadného, závažného a nepodstatného incidentu môže </w:t>
            </w:r>
            <w:r w:rsidR="002D123E">
              <w:rPr>
                <w:rFonts w:ascii="Arial Narrow" w:hAnsi="Arial Narrow"/>
                <w:sz w:val="16"/>
                <w:szCs w:val="16"/>
                <w:lang w:val="sk-SK"/>
              </w:rPr>
              <w:t>Poskytovateľ</w:t>
            </w:r>
            <w:r w:rsidRPr="00C83F68">
              <w:rPr>
                <w:rFonts w:ascii="Arial Narrow" w:hAnsi="Arial Narrow"/>
                <w:sz w:val="16"/>
                <w:szCs w:val="16"/>
                <w:lang w:val="sk-SK"/>
              </w:rPr>
              <w:t xml:space="preserve"> navrhnúť náhradné riešenie, čím však nie je zbavený povinností vyriešiť incident v náhradnom termíne dohodnutom objednávateľom. Pre účely zmluvných pokút sa poskytnutie náhradného riešenia v prípade odstránenia incidentu chápe ako vyriešenie incidentu.</w:t>
            </w:r>
          </w:p>
        </w:tc>
      </w:tr>
      <w:tr w:rsidR="00045B11" w:rsidRPr="00C83F68" w14:paraId="4716D253" w14:textId="77777777" w:rsidTr="006520A9">
        <w:trPr>
          <w:cantSplit/>
        </w:trPr>
        <w:tc>
          <w:tcPr>
            <w:tcW w:w="2420" w:type="dxa"/>
          </w:tcPr>
          <w:p w14:paraId="13128494" w14:textId="28EBE720" w:rsidR="00045B11" w:rsidRPr="00C83F68" w:rsidDel="007D1A6E" w:rsidRDefault="00045B11" w:rsidP="006520A9">
            <w:pPr>
              <w:spacing w:before="60" w:after="20"/>
              <w:rPr>
                <w:rFonts w:ascii="Arial Narrow" w:hAnsi="Arial Narrow"/>
                <w:sz w:val="16"/>
                <w:szCs w:val="16"/>
                <w:lang w:val="sk-SK"/>
              </w:rPr>
            </w:pPr>
            <w:bookmarkStart w:id="0" w:name="_GoBack"/>
            <w:bookmarkEnd w:id="0"/>
            <w:r>
              <w:rPr>
                <w:rFonts w:ascii="Arial Narrow" w:hAnsi="Arial Narrow"/>
                <w:sz w:val="16"/>
                <w:szCs w:val="16"/>
                <w:lang w:val="sk-SK"/>
              </w:rPr>
              <w:t>Podstatné porušenie zmluvy</w:t>
            </w:r>
          </w:p>
        </w:tc>
        <w:tc>
          <w:tcPr>
            <w:tcW w:w="7219" w:type="dxa"/>
          </w:tcPr>
          <w:p w14:paraId="4874E234" w14:textId="1DD72D66" w:rsidR="00045B11" w:rsidRPr="00C83F68" w:rsidDel="007D1A6E" w:rsidRDefault="00045B11" w:rsidP="006520A9">
            <w:pPr>
              <w:spacing w:before="60" w:after="20"/>
              <w:jc w:val="both"/>
              <w:rPr>
                <w:rFonts w:ascii="Arial Narrow" w:hAnsi="Arial Narrow"/>
                <w:sz w:val="16"/>
                <w:szCs w:val="16"/>
                <w:lang w:val="sk-SK"/>
              </w:rPr>
            </w:pPr>
            <w:r>
              <w:rPr>
                <w:rFonts w:ascii="Arial Narrow" w:hAnsi="Arial Narrow"/>
                <w:sz w:val="16"/>
                <w:szCs w:val="16"/>
                <w:lang w:val="sk-SK"/>
              </w:rPr>
              <w:t>Za podstatné porušenie zmluvy sa považuje porušenie podľa § 345 (2) Obchodného zákonníka.</w:t>
            </w:r>
          </w:p>
        </w:tc>
      </w:tr>
    </w:tbl>
    <w:p w14:paraId="6BAA9EC5" w14:textId="77777777" w:rsidR="00110F56" w:rsidRPr="00C83F68" w:rsidRDefault="00110F56">
      <w:pPr>
        <w:pStyle w:val="BodyText"/>
        <w:tabs>
          <w:tab w:val="clear" w:pos="705"/>
          <w:tab w:val="left" w:pos="0"/>
        </w:tabs>
        <w:jc w:val="left"/>
      </w:pPr>
    </w:p>
    <w:sectPr w:rsidR="00110F56" w:rsidRPr="00C83F68" w:rsidSect="006520A9">
      <w:footerReference w:type="default" r:id="rId7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4D865" w14:textId="77777777" w:rsidR="001F3CB7" w:rsidRDefault="001F3CB7">
      <w:r>
        <w:separator/>
      </w:r>
    </w:p>
  </w:endnote>
  <w:endnote w:type="continuationSeparator" w:id="0">
    <w:p w14:paraId="5E0C51E7" w14:textId="77777777" w:rsidR="001F3CB7" w:rsidRDefault="001F3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E5246" w14:textId="77777777" w:rsidR="00110F56" w:rsidRPr="006520A9" w:rsidRDefault="00110F56">
    <w:pPr>
      <w:pStyle w:val="Footer"/>
      <w:jc w:val="center"/>
      <w:rPr>
        <w:rFonts w:ascii="Arial Narrow" w:hAnsi="Arial Narrow"/>
        <w:i/>
      </w:rPr>
    </w:pPr>
    <w:r w:rsidRPr="006520A9">
      <w:rPr>
        <w:rFonts w:ascii="Arial Narrow" w:hAnsi="Arial Narrow"/>
        <w:i/>
      </w:rPr>
      <w:fldChar w:fldCharType="begin"/>
    </w:r>
    <w:r w:rsidRPr="006520A9">
      <w:rPr>
        <w:rFonts w:ascii="Arial Narrow" w:hAnsi="Arial Narrow"/>
        <w:i/>
      </w:rPr>
      <w:instrText xml:space="preserve"> PAGE   \* MERGEFORMAT </w:instrText>
    </w:r>
    <w:r w:rsidRPr="006520A9">
      <w:rPr>
        <w:rFonts w:ascii="Arial Narrow" w:hAnsi="Arial Narrow"/>
        <w:i/>
      </w:rPr>
      <w:fldChar w:fldCharType="separate"/>
    </w:r>
    <w:r w:rsidR="00B5018C">
      <w:rPr>
        <w:rFonts w:ascii="Arial Narrow" w:hAnsi="Arial Narrow"/>
        <w:i/>
        <w:noProof/>
      </w:rPr>
      <w:t>4</w:t>
    </w:r>
    <w:r w:rsidRPr="006520A9">
      <w:rPr>
        <w:rFonts w:ascii="Arial Narrow" w:hAnsi="Arial Narrow"/>
        <w:i/>
      </w:rPr>
      <w:fldChar w:fldCharType="end"/>
    </w:r>
  </w:p>
  <w:p w14:paraId="55172696" w14:textId="77777777" w:rsidR="00110F56" w:rsidRPr="006520A9" w:rsidRDefault="00110F56" w:rsidP="006520A9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ECD75" w14:textId="77777777" w:rsidR="001F3CB7" w:rsidRDefault="001F3CB7">
      <w:r>
        <w:separator/>
      </w:r>
    </w:p>
  </w:footnote>
  <w:footnote w:type="continuationSeparator" w:id="0">
    <w:p w14:paraId="7DDB9087" w14:textId="77777777" w:rsidR="001F3CB7" w:rsidRDefault="001F3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4DDA318E"/>
    <w:lvl w:ilvl="0">
      <w:start w:val="1"/>
      <w:numFmt w:val="decimal"/>
      <w:pStyle w:val="Nadpis1-ploha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Nadpis2-ploha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pStyle w:val="Nadpis3-ploha"/>
      <w:isLgl/>
      <w:lvlText w:val="%1.%2.%3."/>
      <w:lvlJc w:val="left"/>
      <w:pPr>
        <w:tabs>
          <w:tab w:val="num" w:pos="1080"/>
        </w:tabs>
        <w:ind w:left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1440"/>
        </w:tabs>
        <w:ind w:left="10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6" w15:restartNumberingAfterBreak="0">
    <w:nsid w:val="24B86E16"/>
    <w:multiLevelType w:val="singleLevel"/>
    <w:tmpl w:val="D638B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261353F8"/>
    <w:multiLevelType w:val="hybridMultilevel"/>
    <w:tmpl w:val="3AF42D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82011FA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2B5C1B6C"/>
    <w:multiLevelType w:val="singleLevel"/>
    <w:tmpl w:val="4E6E57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0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1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3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99695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6" w15:restartNumberingAfterBreak="0">
    <w:nsid w:val="519917A9"/>
    <w:multiLevelType w:val="hybridMultilevel"/>
    <w:tmpl w:val="DD08327C"/>
    <w:lvl w:ilvl="0" w:tplc="4E6E575E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E66413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51805EA"/>
    <w:multiLevelType w:val="hybridMultilevel"/>
    <w:tmpl w:val="FFC261C4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0" w15:restartNumberingAfterBreak="0">
    <w:nsid w:val="6DE4079A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79126F40"/>
    <w:multiLevelType w:val="multilevel"/>
    <w:tmpl w:val="E46EE69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19"/>
  </w:num>
  <w:num w:numId="4">
    <w:abstractNumId w:val="12"/>
  </w:num>
  <w:num w:numId="5">
    <w:abstractNumId w:val="22"/>
  </w:num>
  <w:num w:numId="6">
    <w:abstractNumId w:val="10"/>
  </w:num>
  <w:num w:numId="7">
    <w:abstractNumId w:val="5"/>
  </w:num>
  <w:num w:numId="8">
    <w:abstractNumId w:val="13"/>
  </w:num>
  <w:num w:numId="9">
    <w:abstractNumId w:val="11"/>
  </w:num>
  <w:num w:numId="10">
    <w:abstractNumId w:val="1"/>
  </w:num>
  <w:num w:numId="11">
    <w:abstractNumId w:val="2"/>
  </w:num>
  <w:num w:numId="12">
    <w:abstractNumId w:val="17"/>
  </w:num>
  <w:num w:numId="13">
    <w:abstractNumId w:val="9"/>
  </w:num>
  <w:num w:numId="14">
    <w:abstractNumId w:val="16"/>
  </w:num>
  <w:num w:numId="15">
    <w:abstractNumId w:val="21"/>
  </w:num>
  <w:num w:numId="16">
    <w:abstractNumId w:val="8"/>
  </w:num>
  <w:num w:numId="17">
    <w:abstractNumId w:val="14"/>
  </w:num>
  <w:num w:numId="18">
    <w:abstractNumId w:val="0"/>
  </w:num>
  <w:num w:numId="19">
    <w:abstractNumId w:val="15"/>
  </w:num>
  <w:num w:numId="20">
    <w:abstractNumId w:val="7"/>
  </w:num>
  <w:num w:numId="21">
    <w:abstractNumId w:val="20"/>
  </w:num>
  <w:num w:numId="22">
    <w:abstractNumId w:val="6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599"/>
    <w:rsid w:val="00001369"/>
    <w:rsid w:val="00004863"/>
    <w:rsid w:val="00013A6F"/>
    <w:rsid w:val="0001488A"/>
    <w:rsid w:val="00045B11"/>
    <w:rsid w:val="00097E50"/>
    <w:rsid w:val="000A60D4"/>
    <w:rsid w:val="000C1F3D"/>
    <w:rsid w:val="000E0DAD"/>
    <w:rsid w:val="00110F56"/>
    <w:rsid w:val="00161D08"/>
    <w:rsid w:val="00163A38"/>
    <w:rsid w:val="001717FB"/>
    <w:rsid w:val="00190D91"/>
    <w:rsid w:val="00192454"/>
    <w:rsid w:val="001B3355"/>
    <w:rsid w:val="001F3CB7"/>
    <w:rsid w:val="002065FB"/>
    <w:rsid w:val="0020785A"/>
    <w:rsid w:val="00231078"/>
    <w:rsid w:val="002C5D52"/>
    <w:rsid w:val="002D123E"/>
    <w:rsid w:val="002F3846"/>
    <w:rsid w:val="00303BAF"/>
    <w:rsid w:val="00316FB2"/>
    <w:rsid w:val="003256B8"/>
    <w:rsid w:val="00340EF7"/>
    <w:rsid w:val="00341D3C"/>
    <w:rsid w:val="003850A9"/>
    <w:rsid w:val="003D6D32"/>
    <w:rsid w:val="00455467"/>
    <w:rsid w:val="0046630A"/>
    <w:rsid w:val="004E64EF"/>
    <w:rsid w:val="00504528"/>
    <w:rsid w:val="005137A4"/>
    <w:rsid w:val="005A79F0"/>
    <w:rsid w:val="005C1045"/>
    <w:rsid w:val="00612564"/>
    <w:rsid w:val="00623DEC"/>
    <w:rsid w:val="006520A9"/>
    <w:rsid w:val="006B4E67"/>
    <w:rsid w:val="00720132"/>
    <w:rsid w:val="00742028"/>
    <w:rsid w:val="00747DE5"/>
    <w:rsid w:val="00754EF9"/>
    <w:rsid w:val="00762D03"/>
    <w:rsid w:val="007714D9"/>
    <w:rsid w:val="00774793"/>
    <w:rsid w:val="007D1A6E"/>
    <w:rsid w:val="007D7701"/>
    <w:rsid w:val="007E07EE"/>
    <w:rsid w:val="00802EEA"/>
    <w:rsid w:val="00806290"/>
    <w:rsid w:val="0081205D"/>
    <w:rsid w:val="00896038"/>
    <w:rsid w:val="009274EF"/>
    <w:rsid w:val="00954DAD"/>
    <w:rsid w:val="009774C8"/>
    <w:rsid w:val="00993150"/>
    <w:rsid w:val="009F7DCE"/>
    <w:rsid w:val="00A1228F"/>
    <w:rsid w:val="00A330F3"/>
    <w:rsid w:val="00A4471B"/>
    <w:rsid w:val="00A65218"/>
    <w:rsid w:val="00A673CA"/>
    <w:rsid w:val="00A82607"/>
    <w:rsid w:val="00A846F3"/>
    <w:rsid w:val="00AA1FFA"/>
    <w:rsid w:val="00AB5599"/>
    <w:rsid w:val="00AB728A"/>
    <w:rsid w:val="00AC3240"/>
    <w:rsid w:val="00AC69DA"/>
    <w:rsid w:val="00AD0CF4"/>
    <w:rsid w:val="00AD5027"/>
    <w:rsid w:val="00B5018C"/>
    <w:rsid w:val="00B55AFA"/>
    <w:rsid w:val="00C044B3"/>
    <w:rsid w:val="00C10DB2"/>
    <w:rsid w:val="00C83F68"/>
    <w:rsid w:val="00CB2ABD"/>
    <w:rsid w:val="00CD3694"/>
    <w:rsid w:val="00D15676"/>
    <w:rsid w:val="00D172B0"/>
    <w:rsid w:val="00D30F80"/>
    <w:rsid w:val="00D325AF"/>
    <w:rsid w:val="00D43946"/>
    <w:rsid w:val="00D62DE4"/>
    <w:rsid w:val="00D633F1"/>
    <w:rsid w:val="00D65382"/>
    <w:rsid w:val="00D72653"/>
    <w:rsid w:val="00DA1E84"/>
    <w:rsid w:val="00DD5E98"/>
    <w:rsid w:val="00DE20B8"/>
    <w:rsid w:val="00DE53E6"/>
    <w:rsid w:val="00E24C69"/>
    <w:rsid w:val="00E37295"/>
    <w:rsid w:val="00E85D8B"/>
    <w:rsid w:val="00E9444C"/>
    <w:rsid w:val="00EA62B4"/>
    <w:rsid w:val="00EE213A"/>
    <w:rsid w:val="00EF1681"/>
    <w:rsid w:val="00EF65BF"/>
    <w:rsid w:val="00F91FB0"/>
    <w:rsid w:val="00FA16A4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4F64F"/>
  <w15:docId w15:val="{901472A1-5F4E-4E84-B9F7-E0376593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E0DAD"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0DAD"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E0DAD"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E0DAD"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0DAD"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DAD"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DAD"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E0DAD"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E0DAD"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0DAD"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77A49"/>
    <w:rPr>
      <w:rFonts w:ascii="Cambria" w:eastAsia="Times New Roman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Heading2Char">
    <w:name w:val="Heading 2 Char"/>
    <w:link w:val="Heading2"/>
    <w:uiPriority w:val="9"/>
    <w:semiHidden/>
    <w:rsid w:val="00B77A49"/>
    <w:rPr>
      <w:rFonts w:ascii="Cambria" w:eastAsia="Times New Roman" w:hAnsi="Cambria" w:cs="Times New Roman"/>
      <w:b/>
      <w:bCs/>
      <w:i/>
      <w:iCs/>
      <w:sz w:val="28"/>
      <w:szCs w:val="28"/>
      <w:lang w:val="cs-CZ" w:eastAsia="cs-CZ"/>
    </w:rPr>
  </w:style>
  <w:style w:type="character" w:customStyle="1" w:styleId="Heading3Char">
    <w:name w:val="Heading 3 Char"/>
    <w:link w:val="Heading3"/>
    <w:uiPriority w:val="9"/>
    <w:semiHidden/>
    <w:rsid w:val="00B77A49"/>
    <w:rPr>
      <w:rFonts w:ascii="Cambria" w:eastAsia="Times New Roman" w:hAnsi="Cambria" w:cs="Times New Roman"/>
      <w:b/>
      <w:bCs/>
      <w:sz w:val="26"/>
      <w:szCs w:val="26"/>
      <w:lang w:val="cs-CZ" w:eastAsia="cs-CZ"/>
    </w:rPr>
  </w:style>
  <w:style w:type="character" w:customStyle="1" w:styleId="Heading4Char">
    <w:name w:val="Heading 4 Char"/>
    <w:link w:val="Heading4"/>
    <w:uiPriority w:val="9"/>
    <w:semiHidden/>
    <w:rsid w:val="00B77A49"/>
    <w:rPr>
      <w:rFonts w:ascii="Calibri" w:eastAsia="Times New Roman" w:hAnsi="Calibri" w:cs="Times New Roman"/>
      <w:b/>
      <w:bCs/>
      <w:sz w:val="28"/>
      <w:szCs w:val="28"/>
      <w:lang w:val="cs-CZ" w:eastAsia="cs-CZ"/>
    </w:rPr>
  </w:style>
  <w:style w:type="character" w:customStyle="1" w:styleId="Heading5Char">
    <w:name w:val="Heading 5 Char"/>
    <w:link w:val="Heading5"/>
    <w:uiPriority w:val="9"/>
    <w:semiHidden/>
    <w:rsid w:val="00B77A49"/>
    <w:rPr>
      <w:rFonts w:ascii="Calibri" w:eastAsia="Times New Roman" w:hAnsi="Calibri" w:cs="Times New Roman"/>
      <w:b/>
      <w:bCs/>
      <w:i/>
      <w:iCs/>
      <w:sz w:val="26"/>
      <w:szCs w:val="26"/>
      <w:lang w:val="cs-CZ" w:eastAsia="cs-CZ"/>
    </w:rPr>
  </w:style>
  <w:style w:type="character" w:customStyle="1" w:styleId="Heading6Char">
    <w:name w:val="Heading 6 Char"/>
    <w:link w:val="Heading6"/>
    <w:uiPriority w:val="9"/>
    <w:semiHidden/>
    <w:rsid w:val="00B77A49"/>
    <w:rPr>
      <w:rFonts w:ascii="Calibri" w:eastAsia="Times New Roman" w:hAnsi="Calibri" w:cs="Times New Roman"/>
      <w:b/>
      <w:bCs/>
      <w:lang w:val="cs-CZ" w:eastAsia="cs-CZ"/>
    </w:rPr>
  </w:style>
  <w:style w:type="character" w:customStyle="1" w:styleId="Heading7Char">
    <w:name w:val="Heading 7 Char"/>
    <w:link w:val="Heading7"/>
    <w:uiPriority w:val="9"/>
    <w:semiHidden/>
    <w:rsid w:val="00B77A49"/>
    <w:rPr>
      <w:rFonts w:ascii="Calibri" w:eastAsia="Times New Roman" w:hAnsi="Calibri" w:cs="Times New Roman"/>
      <w:sz w:val="24"/>
      <w:szCs w:val="24"/>
      <w:lang w:val="cs-CZ" w:eastAsia="cs-CZ"/>
    </w:rPr>
  </w:style>
  <w:style w:type="character" w:customStyle="1" w:styleId="Heading8Char">
    <w:name w:val="Heading 8 Char"/>
    <w:link w:val="Heading8"/>
    <w:uiPriority w:val="9"/>
    <w:semiHidden/>
    <w:rsid w:val="00B77A49"/>
    <w:rPr>
      <w:rFonts w:ascii="Calibri" w:eastAsia="Times New Roman" w:hAnsi="Calibri" w:cs="Times New Roman"/>
      <w:i/>
      <w:iCs/>
      <w:sz w:val="24"/>
      <w:szCs w:val="24"/>
      <w:lang w:val="cs-CZ" w:eastAsia="cs-CZ"/>
    </w:rPr>
  </w:style>
  <w:style w:type="character" w:customStyle="1" w:styleId="Heading9Char">
    <w:name w:val="Heading 9 Char"/>
    <w:link w:val="Heading9"/>
    <w:uiPriority w:val="9"/>
    <w:semiHidden/>
    <w:rsid w:val="00B77A49"/>
    <w:rPr>
      <w:rFonts w:ascii="Cambria" w:eastAsia="Times New Roman" w:hAnsi="Cambria" w:cs="Times New Roman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0E0D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7A49"/>
    <w:rPr>
      <w:sz w:val="0"/>
      <w:szCs w:val="0"/>
      <w:lang w:val="cs-CZ" w:eastAsia="cs-CZ"/>
    </w:rPr>
  </w:style>
  <w:style w:type="paragraph" w:styleId="BodyText">
    <w:name w:val="Body Text"/>
    <w:basedOn w:val="Normal"/>
    <w:link w:val="BodyTextChar"/>
    <w:uiPriority w:val="99"/>
    <w:rsid w:val="000E0DAD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character" w:customStyle="1" w:styleId="BodyTextChar">
    <w:name w:val="Body Text Char"/>
    <w:link w:val="BodyText"/>
    <w:uiPriority w:val="99"/>
    <w:semiHidden/>
    <w:rsid w:val="00B77A49"/>
    <w:rPr>
      <w:sz w:val="24"/>
      <w:szCs w:val="24"/>
      <w:lang w:val="cs-CZ" w:eastAsia="cs-CZ"/>
    </w:rPr>
  </w:style>
  <w:style w:type="paragraph" w:styleId="BodyTextIndent">
    <w:name w:val="Body Text Indent"/>
    <w:basedOn w:val="Normal"/>
    <w:link w:val="BodyTextIndentChar"/>
    <w:uiPriority w:val="99"/>
    <w:rsid w:val="000E0DAD"/>
    <w:pPr>
      <w:spacing w:before="40"/>
      <w:ind w:left="2183" w:hanging="1191"/>
      <w:jc w:val="both"/>
    </w:pPr>
    <w:rPr>
      <w:szCs w:val="20"/>
      <w:lang w:val="sk-SK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B77A49"/>
    <w:rPr>
      <w:sz w:val="24"/>
      <w:szCs w:val="24"/>
      <w:lang w:val="cs-CZ" w:eastAsia="cs-CZ"/>
    </w:rPr>
  </w:style>
  <w:style w:type="paragraph" w:styleId="BodyTextIndent3">
    <w:name w:val="Body Text Indent 3"/>
    <w:basedOn w:val="Normal"/>
    <w:link w:val="BodyTextIndent3Char"/>
    <w:uiPriority w:val="99"/>
    <w:rsid w:val="000E0DAD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B77A49"/>
    <w:rPr>
      <w:sz w:val="16"/>
      <w:szCs w:val="16"/>
      <w:lang w:val="cs-CZ" w:eastAsia="cs-CZ"/>
    </w:rPr>
  </w:style>
  <w:style w:type="paragraph" w:styleId="Header">
    <w:name w:val="header"/>
    <w:basedOn w:val="Normal"/>
    <w:link w:val="HeaderChar"/>
    <w:uiPriority w:val="99"/>
    <w:rsid w:val="000E0DAD"/>
    <w:pPr>
      <w:tabs>
        <w:tab w:val="center" w:pos="4536"/>
        <w:tab w:val="right" w:pos="9072"/>
      </w:tabs>
    </w:pPr>
    <w:rPr>
      <w:lang w:val="sk-SK" w:eastAsia="en-US"/>
    </w:rPr>
  </w:style>
  <w:style w:type="character" w:customStyle="1" w:styleId="HeaderChar">
    <w:name w:val="Header Char"/>
    <w:link w:val="Header"/>
    <w:uiPriority w:val="99"/>
    <w:semiHidden/>
    <w:rsid w:val="00B77A49"/>
    <w:rPr>
      <w:sz w:val="24"/>
      <w:szCs w:val="24"/>
      <w:lang w:val="cs-CZ" w:eastAsia="cs-CZ"/>
    </w:rPr>
  </w:style>
  <w:style w:type="paragraph" w:styleId="BodyText2">
    <w:name w:val="Body Text 2"/>
    <w:basedOn w:val="Normal"/>
    <w:link w:val="BodyText2Char"/>
    <w:uiPriority w:val="99"/>
    <w:rsid w:val="000E0DAD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character" w:customStyle="1" w:styleId="BodyText2Char">
    <w:name w:val="Body Text 2 Char"/>
    <w:link w:val="BodyText2"/>
    <w:uiPriority w:val="99"/>
    <w:semiHidden/>
    <w:rsid w:val="00B77A49"/>
    <w:rPr>
      <w:sz w:val="24"/>
      <w:szCs w:val="24"/>
      <w:lang w:val="cs-CZ" w:eastAsia="cs-CZ"/>
    </w:rPr>
  </w:style>
  <w:style w:type="paragraph" w:customStyle="1" w:styleId="Tabletext">
    <w:name w:val="Table text"/>
    <w:uiPriority w:val="99"/>
    <w:rsid w:val="000E0DAD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rsid w:val="000E0DA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character" w:customStyle="1" w:styleId="FooterChar">
    <w:name w:val="Footer Char"/>
    <w:link w:val="Footer"/>
    <w:uiPriority w:val="99"/>
    <w:locked/>
    <w:rsid w:val="006520A9"/>
    <w:rPr>
      <w:lang w:eastAsia="en-US"/>
    </w:rPr>
  </w:style>
  <w:style w:type="paragraph" w:customStyle="1" w:styleId="weeklies">
    <w:name w:val="weeklies"/>
    <w:basedOn w:val="Normal"/>
    <w:next w:val="Normal"/>
    <w:uiPriority w:val="99"/>
    <w:rsid w:val="000E0DA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uiPriority w:val="99"/>
    <w:rsid w:val="000E0DAD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0E0DAD"/>
    <w:pPr>
      <w:ind w:left="851" w:hanging="5"/>
    </w:pPr>
    <w:rPr>
      <w:color w:val="000000"/>
      <w:lang w:val="sk-SK"/>
    </w:rPr>
  </w:style>
  <w:style w:type="character" w:customStyle="1" w:styleId="BodyTextIndent2Char">
    <w:name w:val="Body Text Indent 2 Char"/>
    <w:link w:val="BodyTextIndent2"/>
    <w:uiPriority w:val="99"/>
    <w:semiHidden/>
    <w:rsid w:val="00B77A49"/>
    <w:rPr>
      <w:sz w:val="24"/>
      <w:szCs w:val="24"/>
      <w:lang w:val="cs-CZ" w:eastAsia="cs-CZ"/>
    </w:rPr>
  </w:style>
  <w:style w:type="paragraph" w:customStyle="1" w:styleId="simple">
    <w:name w:val="simple"/>
    <w:basedOn w:val="Normal"/>
    <w:uiPriority w:val="99"/>
    <w:rsid w:val="000E0DAD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uiPriority w:val="99"/>
    <w:semiHidden/>
    <w:rsid w:val="000E0DA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0E0DA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77A49"/>
    <w:rPr>
      <w:sz w:val="20"/>
      <w:szCs w:val="20"/>
      <w:lang w:val="cs-CZ" w:eastAsia="cs-CZ"/>
    </w:rPr>
  </w:style>
  <w:style w:type="paragraph" w:customStyle="1" w:styleId="Smluvnstrana">
    <w:name w:val="Smluvní strana"/>
    <w:basedOn w:val="Normal"/>
    <w:uiPriority w:val="99"/>
    <w:rsid w:val="000E0DAD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uiPriority w:val="99"/>
    <w:rsid w:val="000E0DAD"/>
    <w:rPr>
      <w:rFonts w:cs="Times New Roman"/>
      <w:color w:val="0000FF"/>
      <w:u w:val="single"/>
    </w:rPr>
  </w:style>
  <w:style w:type="paragraph" w:styleId="ListContinue2">
    <w:name w:val="List Continue 2"/>
    <w:basedOn w:val="Normal"/>
    <w:uiPriority w:val="99"/>
    <w:rsid w:val="000E0DAD"/>
    <w:pPr>
      <w:spacing w:after="120"/>
      <w:ind w:left="1080"/>
      <w:jc w:val="both"/>
    </w:pPr>
    <w:rPr>
      <w:szCs w:val="20"/>
    </w:rPr>
  </w:style>
  <w:style w:type="paragraph" w:styleId="BodyText3">
    <w:name w:val="Body Text 3"/>
    <w:basedOn w:val="Normal"/>
    <w:link w:val="BodyText3Char"/>
    <w:uiPriority w:val="99"/>
    <w:rsid w:val="000E0DAD"/>
    <w:pPr>
      <w:tabs>
        <w:tab w:val="left" w:pos="993"/>
      </w:tabs>
      <w:spacing w:before="120"/>
      <w:jc w:val="both"/>
    </w:pPr>
    <w:rPr>
      <w:sz w:val="18"/>
      <w:lang w:val="sk-SK"/>
    </w:rPr>
  </w:style>
  <w:style w:type="character" w:customStyle="1" w:styleId="BodyText3Char">
    <w:name w:val="Body Text 3 Char"/>
    <w:link w:val="BodyText3"/>
    <w:uiPriority w:val="99"/>
    <w:semiHidden/>
    <w:rsid w:val="00B77A49"/>
    <w:rPr>
      <w:sz w:val="16"/>
      <w:szCs w:val="16"/>
      <w:lang w:val="cs-CZ" w:eastAsia="cs-CZ"/>
    </w:rPr>
  </w:style>
  <w:style w:type="paragraph" w:customStyle="1" w:styleId="Textvtabulce">
    <w:name w:val="Text v tabulce"/>
    <w:basedOn w:val="Normal"/>
    <w:uiPriority w:val="99"/>
    <w:rsid w:val="000E0DAD"/>
    <w:rPr>
      <w:szCs w:val="20"/>
    </w:rPr>
  </w:style>
  <w:style w:type="character" w:styleId="Emphasis">
    <w:name w:val="Emphasis"/>
    <w:uiPriority w:val="99"/>
    <w:qFormat/>
    <w:rsid w:val="000E0DAD"/>
    <w:rPr>
      <w:rFonts w:cs="Times New Roman"/>
      <w:i/>
    </w:rPr>
  </w:style>
  <w:style w:type="paragraph" w:styleId="Title">
    <w:name w:val="Title"/>
    <w:basedOn w:val="Normal"/>
    <w:link w:val="TitleChar"/>
    <w:uiPriority w:val="99"/>
    <w:qFormat/>
    <w:rsid w:val="000E0DAD"/>
    <w:pPr>
      <w:ind w:left="283" w:hanging="283"/>
      <w:jc w:val="center"/>
    </w:pPr>
    <w:rPr>
      <w:b/>
      <w:lang w:val="sk-SK"/>
    </w:rPr>
  </w:style>
  <w:style w:type="character" w:customStyle="1" w:styleId="TitleChar">
    <w:name w:val="Title Char"/>
    <w:link w:val="Title"/>
    <w:uiPriority w:val="10"/>
    <w:rsid w:val="00B77A49"/>
    <w:rPr>
      <w:rFonts w:ascii="Cambria" w:eastAsia="Times New Roman" w:hAnsi="Cambria" w:cs="Times New Roman"/>
      <w:b/>
      <w:bCs/>
      <w:kern w:val="28"/>
      <w:sz w:val="32"/>
      <w:szCs w:val="32"/>
      <w:lang w:val="cs-CZ" w:eastAsia="cs-CZ"/>
    </w:rPr>
  </w:style>
  <w:style w:type="paragraph" w:styleId="TOC1">
    <w:name w:val="toc 1"/>
    <w:basedOn w:val="Normal"/>
    <w:next w:val="Normal"/>
    <w:autoRedefine/>
    <w:uiPriority w:val="99"/>
    <w:semiHidden/>
    <w:rsid w:val="000E0DAD"/>
    <w:pPr>
      <w:jc w:val="both"/>
    </w:pPr>
    <w:rPr>
      <w:sz w:val="20"/>
      <w:szCs w:val="20"/>
    </w:rPr>
  </w:style>
  <w:style w:type="paragraph" w:customStyle="1" w:styleId="Nadpis1-ploha">
    <w:name w:val="Nadpis 1-příloha"/>
    <w:basedOn w:val="Heading1"/>
    <w:uiPriority w:val="99"/>
    <w:rsid w:val="000E0DAD"/>
    <w:pPr>
      <w:numPr>
        <w:numId w:val="18"/>
      </w:numPr>
      <w:spacing w:before="600" w:after="120"/>
      <w:ind w:left="0" w:firstLine="0"/>
    </w:pPr>
    <w:rPr>
      <w:caps/>
      <w:color w:val="auto"/>
      <w:kern w:val="28"/>
      <w:position w:val="0"/>
      <w:sz w:val="26"/>
    </w:rPr>
  </w:style>
  <w:style w:type="paragraph" w:customStyle="1" w:styleId="Nadpis2-ploha">
    <w:name w:val="Nadpis 2-příloha"/>
    <w:basedOn w:val="Heading2"/>
    <w:uiPriority w:val="99"/>
    <w:rsid w:val="000E0DAD"/>
    <w:pPr>
      <w:numPr>
        <w:numId w:val="18"/>
      </w:numPr>
      <w:spacing w:before="240" w:after="120"/>
      <w:jc w:val="both"/>
    </w:pPr>
    <w:rPr>
      <w:b/>
      <w:color w:val="auto"/>
      <w:sz w:val="22"/>
    </w:rPr>
  </w:style>
  <w:style w:type="paragraph" w:customStyle="1" w:styleId="Nadpis3-ploha">
    <w:name w:val="Nadpis 3-příloha"/>
    <w:basedOn w:val="Heading3"/>
    <w:uiPriority w:val="99"/>
    <w:rsid w:val="000E0DAD"/>
    <w:pPr>
      <w:numPr>
        <w:numId w:val="18"/>
      </w:numPr>
      <w:spacing w:before="240" w:after="120"/>
      <w:ind w:firstLine="0"/>
    </w:pPr>
    <w:rPr>
      <w:b/>
      <w:sz w:val="22"/>
    </w:rPr>
  </w:style>
  <w:style w:type="paragraph" w:customStyle="1" w:styleId="Nadpis5-ploha">
    <w:name w:val="Nadpis 5-příloha"/>
    <w:basedOn w:val="Heading5"/>
    <w:uiPriority w:val="99"/>
    <w:rsid w:val="000E0DAD"/>
    <w:pPr>
      <w:tabs>
        <w:tab w:val="clear" w:pos="993"/>
      </w:tabs>
      <w:spacing w:after="120"/>
      <w:ind w:left="0"/>
    </w:pPr>
    <w:rPr>
      <w:b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E0DA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77A49"/>
    <w:rPr>
      <w:b/>
      <w:bCs/>
      <w:sz w:val="20"/>
      <w:szCs w:val="20"/>
      <w:lang w:val="cs-CZ" w:eastAsia="cs-CZ"/>
    </w:rPr>
  </w:style>
  <w:style w:type="paragraph" w:styleId="PlainText">
    <w:name w:val="Plain Text"/>
    <w:basedOn w:val="Normal"/>
    <w:link w:val="PlainTextChar"/>
    <w:uiPriority w:val="99"/>
    <w:rsid w:val="000E0DAD"/>
    <w:rPr>
      <w:rFonts w:ascii="Courier New" w:hAnsi="Courier New"/>
      <w:sz w:val="20"/>
      <w:szCs w:val="20"/>
      <w:lang w:val="sk-SK" w:eastAsia="en-US"/>
    </w:rPr>
  </w:style>
  <w:style w:type="character" w:customStyle="1" w:styleId="PlainTextChar">
    <w:name w:val="Plain Text Char"/>
    <w:link w:val="PlainText"/>
    <w:uiPriority w:val="99"/>
    <w:semiHidden/>
    <w:rsid w:val="00B77A49"/>
    <w:rPr>
      <w:rFonts w:ascii="Courier New" w:hAnsi="Courier New" w:cs="Courier New"/>
      <w:sz w:val="20"/>
      <w:szCs w:val="20"/>
      <w:lang w:val="cs-CZ" w:eastAsia="cs-CZ"/>
    </w:rPr>
  </w:style>
  <w:style w:type="paragraph" w:styleId="ListContinue4">
    <w:name w:val="List Continue 4"/>
    <w:basedOn w:val="Normal"/>
    <w:uiPriority w:val="99"/>
    <w:rsid w:val="000E0DAD"/>
    <w:pPr>
      <w:spacing w:after="120"/>
      <w:ind w:left="113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1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3006</Words>
  <Characters>17138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Priloha 5 k SZ</vt:lpstr>
    </vt:vector>
  </TitlesOfParts>
  <Company/>
  <LinksUpToDate>false</LinksUpToDate>
  <CharactersWithSpaces>20104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5 k SZ</dc:title>
  <dc:subject/>
  <dc:creator>Halik</dc:creator>
  <cp:keywords/>
  <dc:description/>
  <cp:lastModifiedBy>Šimko Zdenko</cp:lastModifiedBy>
  <cp:revision>4</cp:revision>
  <cp:lastPrinted>2013-10-11T11:40:00Z</cp:lastPrinted>
  <dcterms:created xsi:type="dcterms:W3CDTF">2020-10-19T09:44:00Z</dcterms:created>
  <dcterms:modified xsi:type="dcterms:W3CDTF">2020-12-02T10:20:00Z</dcterms:modified>
</cp:coreProperties>
</file>