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894F" w14:textId="77777777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7D28EF">
        <w:rPr>
          <w:rFonts w:ascii="Times New Roman" w:hAnsi="Times New Roman"/>
          <w:b/>
          <w:sz w:val="36"/>
          <w:szCs w:val="36"/>
        </w:rPr>
        <w:t xml:space="preserve">podpory 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a licencií  </w:t>
      </w:r>
    </w:p>
    <w:p w14:paraId="53DA68A6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269 ods. 2 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nasl.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   </w:t>
      </w:r>
      <w:r w:rsidR="006E3BAE">
        <w:rPr>
          <w:rFonts w:ascii="Times New Roman" w:hAnsi="Times New Roman"/>
          <w:b/>
          <w:sz w:val="24"/>
          <w:szCs w:val="24"/>
        </w:rPr>
        <w:t>§ 58 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63143315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5106314D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6E3BAE" w:rsidRPr="009D33F6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9D33F6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A9610A" w:rsidRPr="00A9610A">
        <w:rPr>
          <w:rFonts w:ascii="Times New Roman" w:hAnsi="Times New Roman"/>
          <w:bCs/>
          <w:i/>
          <w:noProof/>
          <w:sz w:val="24"/>
          <w:szCs w:val="24"/>
        </w:rPr>
        <w:t>Obnova licencií a podpory pre virtuálne sieťové zariadenia FortiWeb FWB-VM04, obnova technickej podpory výrobcu pre produkt FortiAuthenticator, obnova licencií a podpory pre nástroj na riadenie bezpečnostných incidentov a udalostí FortiSIEM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 </w:t>
      </w:r>
      <w:r w:rsidR="0079080B" w:rsidRPr="00A9610A">
        <w:rPr>
          <w:rFonts w:ascii="Times New Roman" w:hAnsi="Times New Roman"/>
          <w:bCs/>
          <w:noProof/>
          <w:sz w:val="24"/>
          <w:szCs w:val="24"/>
        </w:rPr>
        <w:t xml:space="preserve">zadávaná v kategórii č. </w:t>
      </w:r>
      <w:r w:rsidR="00A9610A">
        <w:rPr>
          <w:rFonts w:ascii="Times New Roman" w:hAnsi="Times New Roman"/>
          <w:bCs/>
          <w:noProof/>
          <w:sz w:val="24"/>
          <w:szCs w:val="24"/>
        </w:rPr>
        <w:t>3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 „</w:t>
      </w:r>
      <w:r w:rsidR="00A9610A" w:rsidRPr="00A9610A">
        <w:rPr>
          <w:rFonts w:ascii="Times New Roman" w:hAnsi="Times New Roman"/>
          <w:bCs/>
          <w:i/>
          <w:noProof/>
          <w:sz w:val="24"/>
          <w:szCs w:val="24"/>
        </w:rPr>
        <w:t>Licencie a podpora pre zariadenia FortiWeb FWB-VM04, licencie a podpora pre nástroj na riadenie bezpečnostných incidentov a udalostí FortiSIEM a technická podpora pre produkt FortiAuthenticator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“- výzva na predkladanie ponúk č. </w:t>
      </w:r>
      <w:r w:rsidR="00A9610A">
        <w:rPr>
          <w:rFonts w:ascii="Times New Roman" w:hAnsi="Times New Roman"/>
          <w:bCs/>
          <w:i/>
          <w:noProof/>
          <w:sz w:val="24"/>
          <w:szCs w:val="24"/>
        </w:rPr>
        <w:t>4</w:t>
      </w:r>
      <w:bookmarkStart w:id="0" w:name="_GoBack"/>
      <w:bookmarkEnd w:id="0"/>
      <w:r w:rsidR="0079080B" w:rsidRPr="009D33F6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12090" w:rsidRPr="009D33F6">
        <w:rPr>
          <w:rFonts w:ascii="Times New Roman" w:hAnsi="Times New Roman"/>
          <w:sz w:val="24"/>
          <w:szCs w:val="24"/>
        </w:rPr>
        <w:t>Kupujúc</w:t>
      </w:r>
      <w:r w:rsidR="004B16FE" w:rsidRPr="009D33F6">
        <w:rPr>
          <w:rFonts w:ascii="Times New Roman" w:hAnsi="Times New Roman"/>
          <w:sz w:val="24"/>
          <w:szCs w:val="24"/>
        </w:rPr>
        <w:t>i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12098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77777777" w:rsidR="00214C1F" w:rsidRPr="00214C1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Predávajúci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77777777" w:rsidR="00C441DE" w:rsidRPr="00096247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096247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7777777" w:rsidR="00B90763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oprávnený zmeniť subdodávateľa alebo pribrať subdodávateľa (spoločne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0447E032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sa zaväzuje v súlade so Zmluvou dodať predmet kúpy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Kupujúcemu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77777777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>Predmetom kúpy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Podpora a licencie 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>, ktoré môže Kupujúci využívať na území Slovenskej republiky a na zastupiteľských úradoch Slovenskej republiky, na ktorých sa nachádzajú zariadenia, ku ktorým sa Podpora poskytuje.</w:t>
      </w:r>
    </w:p>
    <w:p w14:paraId="4F72F046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D0DE42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7354C1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EA8F1E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704DE22B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4263FA5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77777777" w:rsidR="00FF5968" w:rsidRPr="00FF5968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7777777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77777777" w:rsidR="00ED32EE" w:rsidRPr="0048673E" w:rsidRDefault="00ED32EE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32EE">
        <w:rPr>
          <w:rFonts w:ascii="Times New Roman" w:hAnsi="Times New Roman"/>
          <w:sz w:val="24"/>
          <w:szCs w:val="24"/>
        </w:rPr>
        <w:t>Predávajúci sa zaväzuje dodať Kupujúcemu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2BC811E6" w:rsidR="005976C5" w:rsidRPr="00096247" w:rsidRDefault="00612090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</w:t>
      </w:r>
      <w:r w:rsidR="005976C5" w:rsidRPr="00096247">
        <w:rPr>
          <w:rFonts w:ascii="Times New Roman" w:hAnsi="Times New Roman"/>
          <w:sz w:val="24"/>
          <w:szCs w:val="24"/>
        </w:rPr>
        <w:t>i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Kupujúc</w:t>
      </w:r>
      <w:r w:rsidR="005976C5" w:rsidRPr="00096247">
        <w:rPr>
          <w:rFonts w:ascii="Times New Roman" w:hAnsi="Times New Roman"/>
          <w:sz w:val="24"/>
          <w:szCs w:val="24"/>
        </w:rPr>
        <w:t xml:space="preserve">eho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Kupujúc</w:t>
      </w:r>
      <w:r w:rsidR="009D7CCA" w:rsidRPr="00096247">
        <w:rPr>
          <w:rFonts w:ascii="Times New Roman" w:hAnsi="Times New Roman"/>
          <w:sz w:val="24"/>
          <w:szCs w:val="24"/>
        </w:rPr>
        <w:t>eho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Predávajúci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Kupujúc</w:t>
      </w:r>
      <w:r w:rsidR="00E7671D" w:rsidRPr="00096247">
        <w:rPr>
          <w:rFonts w:ascii="Times New Roman" w:hAnsi="Times New Roman"/>
          <w:sz w:val="24"/>
          <w:szCs w:val="24"/>
        </w:rPr>
        <w:t xml:space="preserve">emu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77777777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5FB45BF4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141564F2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06874818" w14:textId="42272505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15E659F9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kúpnej ceny sa realizuje 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62588F6F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7A83802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21D8F293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3D325AED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im, za vady, ktoré vzniknú po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77777777" w:rsidR="00574509" w:rsidRPr="00096247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nezabezpečil pre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mluvy</w:t>
      </w:r>
      <w:r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77777777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1106C7DE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C2E4466" w14:textId="77777777" w:rsidR="00410E6E" w:rsidRPr="0094370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43707">
        <w:rPr>
          <w:rFonts w:ascii="Times New Roman" w:hAnsi="Times New Roman"/>
          <w:sz w:val="24"/>
          <w:szCs w:val="24"/>
        </w:rPr>
        <w:t xml:space="preserve">Predávajúci je povinný </w:t>
      </w:r>
      <w:r w:rsidRPr="0054364E">
        <w:rPr>
          <w:rFonts w:ascii="Times New Roman" w:hAnsi="Times New Roman"/>
          <w:sz w:val="24"/>
          <w:szCs w:val="24"/>
        </w:rPr>
        <w:t>začať s odstraňovaním</w:t>
      </w:r>
      <w:r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zariadenia zo strany výrobcu, Predávajúci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Pr="00943707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943707">
        <w:rPr>
          <w:rFonts w:ascii="Times New Roman" w:hAnsi="Times New Roman"/>
          <w:sz w:val="24"/>
          <w:szCs w:val="24"/>
        </w:rPr>
        <w:t>Predávajúc</w:t>
      </w:r>
      <w:r w:rsidRPr="00943707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2F6DEAD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vadnému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77777777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Kupujúci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Predávajúceho alebo výrobcu, je Predávajúci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Kupujúceho </w:t>
      </w:r>
      <w:r w:rsidRPr="0057786B">
        <w:rPr>
          <w:rFonts w:ascii="Times New Roman" w:hAnsi="Times New Roman"/>
          <w:sz w:val="24"/>
          <w:szCs w:val="24"/>
        </w:rPr>
        <w:t xml:space="preserve">vrátiť Kupujúcemu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>Tovaru zodpovedajúcu obdobiu, za ktoré Kupujúci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právo na zmluvnú pokutu vo výške 200 EUR za každý aj začatý deň omeškania.</w:t>
      </w:r>
    </w:p>
    <w:p w14:paraId="77534785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omeškania.</w:t>
      </w:r>
    </w:p>
    <w:p w14:paraId="50EBB2A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48D0393B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1FA8010B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383914F8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5A997DCB" w14:textId="77777777" w:rsidR="00B6385F" w:rsidRPr="00B6385F" w:rsidRDefault="00B6385F" w:rsidP="00B6385F">
      <w:pPr>
        <w:ind w:left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</w:p>
    <w:p w14:paraId="7221E6CF" w14:textId="14A6B5CF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vyhlásenie konkurzu, </w:t>
      </w:r>
    </w:p>
    <w:p w14:paraId="3CB75108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5FAC7E2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7770FE6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44DD8E63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02AC504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27912F6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07D45A51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77777777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Kupujúcim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</w:p>
    <w:p w14:paraId="33376DD6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707D703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17463CFB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lastRenderedPageBreak/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8"/>
      <w:head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E841C" w14:textId="77777777" w:rsidR="00230E8E" w:rsidRDefault="00230E8E">
      <w:pPr>
        <w:spacing w:after="0" w:line="240" w:lineRule="auto"/>
      </w:pPr>
      <w:r>
        <w:separator/>
      </w:r>
    </w:p>
  </w:endnote>
  <w:endnote w:type="continuationSeparator" w:id="0">
    <w:p w14:paraId="1FDBDF34" w14:textId="77777777" w:rsidR="00230E8E" w:rsidRDefault="0023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1A7DF049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A9610A">
      <w:rPr>
        <w:rFonts w:ascii="Times New Roman" w:hAnsi="Times New Roman"/>
        <w:bCs/>
        <w:noProof/>
      </w:rPr>
      <w:t>6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A9610A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77CC0" w14:textId="77777777" w:rsidR="00230E8E" w:rsidRDefault="00230E8E">
      <w:pPr>
        <w:spacing w:after="0" w:line="240" w:lineRule="auto"/>
      </w:pPr>
      <w:r>
        <w:separator/>
      </w:r>
    </w:p>
  </w:footnote>
  <w:footnote w:type="continuationSeparator" w:id="0">
    <w:p w14:paraId="579CA638" w14:textId="77777777" w:rsidR="00230E8E" w:rsidRDefault="0023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407BE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0E8E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0B5B-883F-4604-9694-228739E7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2020-12-10T10:01:00Z</dcterms:created>
  <dcterms:modified xsi:type="dcterms:W3CDTF">2020-12-10T10:01:00Z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</Properties>
</file>