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083C1910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D841C2" w:rsidRPr="00C9784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https://josephine.proebiz.com/sk/tender/9987/summary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4A4E8328" w:rsidR="00AA55B6" w:rsidRPr="00063F3D" w:rsidRDefault="007F7679" w:rsidP="00AA5650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AA5650">
        <w:rPr>
          <w:rFonts w:cstheme="minorHAnsi"/>
          <w:b/>
          <w:bCs/>
        </w:rPr>
        <w:t>Náradie</w:t>
      </w:r>
    </w:p>
    <w:p w14:paraId="4C0C3595" w14:textId="0AC0AE47" w:rsidR="0057058A" w:rsidRDefault="001E604B" w:rsidP="00DF0A6D">
      <w:pPr>
        <w:spacing w:after="0" w:line="259" w:lineRule="auto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096F73">
        <w:t>43830000-0 Mechanické náradie,</w:t>
      </w:r>
      <w:r w:rsidR="00096F73">
        <w:t xml:space="preserve"> </w:t>
      </w:r>
      <w:r w:rsidR="00096F73">
        <w:t>44510000-8 Nástroje,</w:t>
      </w:r>
      <w:r w:rsidR="00096F73">
        <w:t xml:space="preserve"> </w:t>
      </w:r>
      <w:r w:rsidR="00096F73">
        <w:t>44511000-5 Ručné nástroje,</w:t>
      </w:r>
      <w:r w:rsidR="00DF0A6D">
        <w:t xml:space="preserve"> </w:t>
      </w:r>
      <w:r w:rsidR="00096F73">
        <w:t xml:space="preserve">44512940-3 </w:t>
      </w:r>
      <w:proofErr w:type="spellStart"/>
      <w:r w:rsidR="00096F73">
        <w:t>Sada</w:t>
      </w:r>
      <w:proofErr w:type="spellEnd"/>
      <w:r w:rsidR="00096F73">
        <w:t xml:space="preserve"> náradia,</w:t>
      </w:r>
      <w:r w:rsidR="00DF0A6D">
        <w:t xml:space="preserve"> </w:t>
      </w:r>
      <w:r w:rsidR="00096F73">
        <w:t>44512000-2 Rôzne ručné nástroje,</w:t>
      </w:r>
      <w:r w:rsidR="00DF0A6D">
        <w:t xml:space="preserve"> </w:t>
      </w:r>
      <w:r w:rsidR="00096F73">
        <w:t>42651000-4 Pneumatické ručné nástroje,</w:t>
      </w:r>
      <w:r w:rsidR="00DF0A6D">
        <w:t xml:space="preserve"> </w:t>
      </w:r>
      <w:r w:rsidR="00096F73">
        <w:t>42652000-1 Ručné elektromechanické nástroje,</w:t>
      </w:r>
      <w:r w:rsidR="00DF0A6D">
        <w:t xml:space="preserve"> </w:t>
      </w:r>
      <w:r w:rsidR="00096F73">
        <w:t>60000000-8 Dopravné služby (bez prepravy odpadu)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21DE6A08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 xml:space="preserve">, 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0FA994D7" w14:textId="77777777" w:rsidR="00593FA5" w:rsidRPr="00593FA5" w:rsidRDefault="00895E51" w:rsidP="00593FA5">
      <w:pPr>
        <w:ind w:left="567"/>
        <w:jc w:val="both"/>
        <w:rPr>
          <w:rFonts w:cstheme="minorHAnsi"/>
          <w:color w:val="333333"/>
          <w:shd w:val="clear" w:color="auto" w:fill="FFFFFF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593FA5" w:rsidRPr="00593FA5">
        <w:rPr>
          <w:rFonts w:cstheme="minorHAnsi"/>
          <w:color w:val="333333"/>
          <w:shd w:val="clear" w:color="auto" w:fill="FFFFFF"/>
        </w:rPr>
        <w:t xml:space="preserve">Dodanie nového tovaru v neporušených obaloch, a to dielenského ručného, pneumatického a elektromechanického  náradia používaného v opravárenských dielňach, ktoré je potrebné pri opravách v rozsahu podľa dokumentu Príloha č. 1 – Technická špecifikácia, v čiastkových dodávkach s naložením, dopravou a vyložením na miesto určenia podľa špecifikácie verejného obstarávateľa. </w:t>
      </w:r>
    </w:p>
    <w:p w14:paraId="17C5082C" w14:textId="56E67A3D" w:rsidR="0065567A" w:rsidRDefault="00593FA5" w:rsidP="00593FA5">
      <w:pPr>
        <w:ind w:left="567"/>
        <w:jc w:val="both"/>
        <w:rPr>
          <w:rFonts w:cstheme="minorHAnsi"/>
          <w:color w:val="333333"/>
          <w:shd w:val="clear" w:color="auto" w:fill="FFFFFF"/>
        </w:rPr>
      </w:pPr>
      <w:r w:rsidRPr="00593FA5">
        <w:rPr>
          <w:rFonts w:cstheme="minorHAnsi"/>
          <w:color w:val="333333"/>
          <w:shd w:val="clear" w:color="auto" w:fill="FFFFFF"/>
        </w:rPr>
        <w:t>Z dôvodu potreby zabezpečenia kvality je každé náradie opísané katalógovým číslom výrobcu, uvedený opis definuje minimálne parametre výrobku. Obstarávateľ umožňuje aj ekvivalentné výrobky s  presným odkazom na výrobcu a parametre ekvivalentného výrobku.</w:t>
      </w:r>
    </w:p>
    <w:p w14:paraId="62EC4EF3" w14:textId="1AA5D789" w:rsidR="00DF457C" w:rsidRPr="00063F3D" w:rsidRDefault="00DF457C" w:rsidP="00593FA5">
      <w:pPr>
        <w:ind w:left="567"/>
        <w:jc w:val="both"/>
        <w:rPr>
          <w:rFonts w:cstheme="minorHAnsi"/>
        </w:rPr>
      </w:pPr>
      <w:r w:rsidRPr="00DF457C">
        <w:rPr>
          <w:rFonts w:cstheme="minorHAnsi"/>
        </w:rPr>
        <w:lastRenderedPageBreak/>
        <w:t>Konkrétny výrobok podľa katalógového čísla je určený ako štandard pre definovanie minimálnych parametrov prípadného ekvivalentného výrobku. Umožňuje  sa predloženie ekvivalentného výrobku s minimálnymi parametrami  uvedenými odkazom na konkrétny výrobok. Pri predložení ekvivalentného výrobku je potrebné doložiť odkaz na výrobcu (predajcu), odkaz na konkrétne parametre výrobku a predloženie certifikátu pre použitie výrobku v EU.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05FB83E8" w:rsidR="00C535B8" w:rsidRDefault="007A0ADF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F75109">
        <w:rPr>
          <w:rFonts w:ascii="Calibri" w:eastAsia="Arial" w:hAnsi="Calibri" w:cs="Calibri"/>
          <w:lang w:eastAsia="sk"/>
        </w:rPr>
        <w:t xml:space="preserve"> </w:t>
      </w:r>
      <w:r w:rsidR="007B35C0">
        <w:rPr>
          <w:rFonts w:cstheme="minorHAnsi"/>
          <w:bCs/>
        </w:rPr>
        <w:t>52</w:t>
      </w:r>
      <w:r w:rsidRPr="007A0ADF">
        <w:rPr>
          <w:rFonts w:cstheme="minorHAnsi"/>
          <w:bCs/>
        </w:rPr>
        <w:t xml:space="preserve"> </w:t>
      </w:r>
      <w:r w:rsidR="007B35C0">
        <w:rPr>
          <w:rFonts w:cstheme="minorHAnsi"/>
          <w:bCs/>
        </w:rPr>
        <w:t>683</w:t>
      </w:r>
      <w:r w:rsidRPr="007A0ADF">
        <w:rPr>
          <w:rFonts w:cstheme="minorHAnsi"/>
          <w:bCs/>
        </w:rPr>
        <w:t>,</w:t>
      </w:r>
      <w:r w:rsidR="006C7B28">
        <w:rPr>
          <w:rFonts w:cstheme="minorHAnsi"/>
          <w:bCs/>
        </w:rPr>
        <w:t>68</w:t>
      </w:r>
      <w:r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1D001295" w14:textId="5BDDA08F" w:rsidR="00F6017F" w:rsidRPr="00772038" w:rsidRDefault="00F6017F" w:rsidP="00772038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eastAsia="Arial" w:cstheme="minorHAnsi"/>
          <w:lang w:eastAsia="sk"/>
        </w:rPr>
      </w:pPr>
      <w:r>
        <w:rPr>
          <w:rFonts w:cstheme="minorHAnsi"/>
          <w:bCs/>
        </w:rPr>
        <w:t xml:space="preserve"> </w:t>
      </w:r>
      <w:r w:rsidR="00772038" w:rsidRPr="00772038">
        <w:rPr>
          <w:rFonts w:cstheme="minorHAnsi"/>
          <w:sz w:val="20"/>
          <w:szCs w:val="20"/>
        </w:rPr>
        <w:t>( z toho časť 1: 20 834,</w:t>
      </w:r>
      <w:r w:rsidR="00772038" w:rsidRPr="00772038">
        <w:rPr>
          <w:rFonts w:cstheme="minorHAnsi"/>
          <w:sz w:val="20"/>
          <w:szCs w:val="20"/>
        </w:rPr>
        <w:t>39</w:t>
      </w:r>
      <w:r w:rsidR="00772038" w:rsidRPr="00772038">
        <w:rPr>
          <w:rFonts w:cstheme="minorHAnsi"/>
          <w:sz w:val="20"/>
          <w:szCs w:val="20"/>
        </w:rPr>
        <w:t xml:space="preserve"> EUR, časť 2: 8 036,64 EUR, časť 3: 3 362,29 EUR, časť 4: 4 612,75  EUR, časť 5: 1 434,69  EUR, časť 6:  1 909,94 EUR, časť 7: 1 096,66 EUR, časť 8: 468,57 EUR, časť 9:  1 988,18 EUR, časť 10: 1 995,40 EUR, časť 11:  6 944,17 EUR)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6765B65F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je rozdelená na </w:t>
      </w:r>
      <w:r w:rsidR="00593FA5">
        <w:rPr>
          <w:rFonts w:cstheme="minorHAnsi"/>
        </w:rPr>
        <w:t xml:space="preserve">11 </w:t>
      </w:r>
      <w:r w:rsidRPr="00F75109">
        <w:rPr>
          <w:rFonts w:cstheme="minorHAnsi"/>
        </w:rPr>
        <w:t>časti</w:t>
      </w:r>
      <w:r w:rsidR="00593FA5">
        <w:rPr>
          <w:rFonts w:cstheme="minorHAnsi"/>
        </w:rPr>
        <w:t>, ponuky je možné predkladať</w:t>
      </w:r>
      <w:r w:rsidR="002274AE">
        <w:rPr>
          <w:rFonts w:cstheme="minorHAnsi"/>
        </w:rPr>
        <w:t xml:space="preserve"> samostatne na časti</w:t>
      </w:r>
      <w:r w:rsidRPr="00F75109">
        <w:rPr>
          <w:rFonts w:cstheme="minorHAnsi"/>
        </w:rPr>
        <w:t>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1D82A473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 xml:space="preserve">na </w:t>
      </w:r>
      <w:r w:rsidR="005B7775">
        <w:rPr>
          <w:color w:val="auto"/>
          <w:sz w:val="22"/>
          <w:szCs w:val="22"/>
        </w:rPr>
        <w:t>18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60029C69" w:rsidR="001F69CA" w:rsidRPr="00382446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5328474" w:rsidR="00687801" w:rsidRPr="00BC7473" w:rsidRDefault="00895E51" w:rsidP="006C261C">
      <w:pPr>
        <w:widowControl w:val="0"/>
        <w:autoSpaceDE w:val="0"/>
        <w:autoSpaceDN w:val="0"/>
        <w:spacing w:after="0"/>
        <w:jc w:val="both"/>
        <w:rPr>
          <w:color w:val="1F497D" w:themeColor="text2"/>
          <w:sz w:val="28"/>
          <w:szCs w:val="28"/>
          <w:lang w:val="sk" w:eastAsia="sk"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="001F69CA"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62F6C4BE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463C44">
        <w:rPr>
          <w:rFonts w:cstheme="minorHAnsi"/>
          <w:color w:val="000000" w:themeColor="text1"/>
          <w:lang w:eastAsia="sk"/>
        </w:rPr>
        <w:t>18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294489F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1" w:history="1">
        <w:r w:rsidR="001E5980" w:rsidRPr="00C9784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https://josephine.proebiz.com/sk/tender/9987/summary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2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C2247C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3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</w:t>
      </w:r>
      <w:r w:rsidRPr="00E45F2F">
        <w:rPr>
          <w:rFonts w:ascii="Calibri" w:eastAsia="Arial" w:hAnsi="Calibri" w:cs="Calibri"/>
          <w:lang w:eastAsia="sk"/>
        </w:rPr>
        <w:lastRenderedPageBreak/>
        <w:t>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C2247C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0CC54CFA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9B3B00">
        <w:rPr>
          <w:rFonts w:ascii="Calibri" w:eastAsia="Arial" w:hAnsi="Calibri" w:cs="Calibri"/>
          <w:lang w:eastAsia="sk"/>
        </w:rPr>
        <w:t>5</w:t>
      </w:r>
      <w:r w:rsidR="00032EFA">
        <w:rPr>
          <w:rFonts w:ascii="Calibri" w:eastAsia="Arial" w:hAnsi="Calibri" w:cs="Calibri"/>
          <w:lang w:eastAsia="sk"/>
        </w:rPr>
        <w:t>.</w:t>
      </w:r>
      <w:r w:rsidR="009B3B00">
        <w:rPr>
          <w:rFonts w:ascii="Calibri" w:eastAsia="Arial" w:hAnsi="Calibri" w:cs="Calibri"/>
          <w:lang w:eastAsia="sk"/>
        </w:rPr>
        <w:t>12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C2266A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0E05D2E9" w:rsidR="009B0997" w:rsidRDefault="00DF457C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Pr="00C97846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https://josephine.proebiz.com/sk/tender/9987/summary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</w:t>
      </w:r>
      <w:r w:rsidRPr="00BC7473">
        <w:rPr>
          <w:rFonts w:ascii="Calibri" w:eastAsia="Arial" w:hAnsi="Calibri" w:cs="Calibri"/>
          <w:bCs/>
          <w:lang w:eastAsia="sk"/>
        </w:rPr>
        <w:lastRenderedPageBreak/>
        <w:t xml:space="preserve">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4321C779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4301CA">
        <w:rPr>
          <w:rFonts w:ascii="Calibri" w:eastAsia="Arial" w:hAnsi="Calibri" w:cs="Calibri"/>
          <w:lang w:val="sk" w:eastAsia="sk"/>
        </w:rPr>
        <w:t xml:space="preserve">časť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5E3CF8AF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</w:t>
      </w:r>
      <w:proofErr w:type="spellStart"/>
      <w:r w:rsidR="00D71CAE">
        <w:rPr>
          <w:rFonts w:ascii="Calibri" w:eastAsia="Arial" w:hAnsi="Calibri" w:cs="Calibri"/>
          <w:b/>
          <w:bCs/>
          <w:u w:color="000000"/>
          <w:lang w:eastAsia="sk"/>
        </w:rPr>
        <w:t>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</w:t>
      </w:r>
      <w:proofErr w:type="spellEnd"/>
      <w:r w:rsidR="00297B91">
        <w:rPr>
          <w:rFonts w:ascii="Calibri" w:eastAsia="Arial" w:hAnsi="Calibri" w:cs="Calibri"/>
          <w:b/>
          <w:bCs/>
          <w:u w:color="000000"/>
          <w:lang w:eastAsia="sk"/>
        </w:rPr>
        <w:t xml:space="preserve">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77F57B9F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3A65B2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A65B2">
        <w:rPr>
          <w:rFonts w:ascii="Calibri" w:eastAsia="Arial" w:hAnsi="Calibri" w:cs="Calibri"/>
          <w:lang w:val="sk" w:eastAsia="sk"/>
        </w:rPr>
        <w:t>12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EC869" w14:textId="77777777" w:rsidR="00C2247C" w:rsidRDefault="00C2247C" w:rsidP="00F14090">
      <w:pPr>
        <w:spacing w:after="0" w:line="240" w:lineRule="auto"/>
      </w:pPr>
      <w:r>
        <w:separator/>
      </w:r>
    </w:p>
  </w:endnote>
  <w:endnote w:type="continuationSeparator" w:id="0">
    <w:p w14:paraId="2789356D" w14:textId="77777777" w:rsidR="00C2247C" w:rsidRDefault="00C2247C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83CC" w14:textId="77777777" w:rsidR="00C2247C" w:rsidRDefault="00C2247C" w:rsidP="00F14090">
      <w:pPr>
        <w:spacing w:after="0" w:line="240" w:lineRule="auto"/>
      </w:pPr>
      <w:r>
        <w:separator/>
      </w:r>
    </w:p>
  </w:footnote>
  <w:footnote w:type="continuationSeparator" w:id="0">
    <w:p w14:paraId="33771C4A" w14:textId="77777777" w:rsidR="00C2247C" w:rsidRDefault="00C2247C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C2247C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6F73"/>
    <w:rsid w:val="0009755D"/>
    <w:rsid w:val="000A2F4A"/>
    <w:rsid w:val="000A3E3D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13526"/>
    <w:rsid w:val="00213CBF"/>
    <w:rsid w:val="002274AE"/>
    <w:rsid w:val="002417E1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82446"/>
    <w:rsid w:val="00394D55"/>
    <w:rsid w:val="003A65B2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301CA"/>
    <w:rsid w:val="00451600"/>
    <w:rsid w:val="00454632"/>
    <w:rsid w:val="00463C44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261C"/>
    <w:rsid w:val="006C7B28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038"/>
    <w:rsid w:val="00772C10"/>
    <w:rsid w:val="007805D8"/>
    <w:rsid w:val="00783E00"/>
    <w:rsid w:val="007867D7"/>
    <w:rsid w:val="00791113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3A91"/>
    <w:rsid w:val="00A9706C"/>
    <w:rsid w:val="00AA31D5"/>
    <w:rsid w:val="00AA55B6"/>
    <w:rsid w:val="00AA5650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247C"/>
    <w:rsid w:val="00C2266A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964"/>
    <w:rsid w:val="00D71CAE"/>
    <w:rsid w:val="00D729C5"/>
    <w:rsid w:val="00D7355F"/>
    <w:rsid w:val="00D8169B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64DD5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50F15"/>
    <w:rsid w:val="00F6017F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9987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9987/summary" TargetMode="External"/><Relationship Id="rId10" Type="http://schemas.openxmlformats.org/officeDocument/2006/relationships/hyperlink" Target="https://josephine.proebiz.com/sk/tender/9987/summar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Skrateny_navod_ucastni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Hamala Milan</cp:lastModifiedBy>
  <cp:revision>25</cp:revision>
  <cp:lastPrinted>2020-07-24T07:17:00Z</cp:lastPrinted>
  <dcterms:created xsi:type="dcterms:W3CDTF">2020-12-07T13:14:00Z</dcterms:created>
  <dcterms:modified xsi:type="dcterms:W3CDTF">2020-12-07T14:17:00Z</dcterms:modified>
</cp:coreProperties>
</file>